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Narrow" w:hAnsi="Arial Narrow"/>
          <w:b/>
          <w:sz w:val="32"/>
          <w:szCs w:val="20"/>
        </w:rPr>
      </w:pPr>
      <w:r>
        <w:drawing>
          <wp:anchor behindDoc="1" distT="0" distB="0" distL="0" distR="0" simplePos="0" locked="0" layoutInCell="1" allowOverlap="1" relativeHeight="2">
            <wp:simplePos x="0" y="0"/>
            <wp:positionH relativeFrom="column">
              <wp:posOffset>3532505</wp:posOffset>
            </wp:positionH>
            <wp:positionV relativeFrom="paragraph">
              <wp:posOffset>-165100</wp:posOffset>
            </wp:positionV>
            <wp:extent cx="2187575" cy="2186305"/>
            <wp:effectExtent l="0" t="0" r="0" b="0"/>
            <wp:wrapNone/>
            <wp:docPr id="1" name="Picture 0" descr="CL_logo_Blac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CL_logo_Black_HighRes.jpg"/>
                    <pic:cNvPicPr>
                      <a:picLocks noChangeAspect="1" noChangeArrowheads="1"/>
                    </pic:cNvPicPr>
                  </pic:nvPicPr>
                  <pic:blipFill>
                    <a:blip r:embed="rId2">
                      <a:lum bright="70000" contrast="-70000"/>
                    </a:blip>
                    <a:stretch>
                      <a:fillRect/>
                    </a:stretch>
                  </pic:blipFill>
                  <pic:spPr bwMode="auto">
                    <a:xfrm>
                      <a:off x="0" y="0"/>
                      <a:ext cx="2187575" cy="2186305"/>
                    </a:xfrm>
                    <a:prstGeom prst="rect">
                      <a:avLst/>
                    </a:prstGeom>
                  </pic:spPr>
                </pic:pic>
              </a:graphicData>
            </a:graphic>
          </wp:anchor>
        </w:drawing>
      </w:r>
      <w:r>
        <w:rPr>
          <w:rFonts w:ascii="Arial Narrow" w:hAnsi="Arial Narrow"/>
          <w:b/>
          <w:sz w:val="32"/>
          <w:szCs w:val="20"/>
        </w:rPr>
        <w:t>Town of Cedar Lake</w:t>
      </w:r>
    </w:p>
    <w:p>
      <w:pPr>
        <w:pStyle w:val="Normal"/>
        <w:rPr>
          <w:rFonts w:ascii="Arial Narrow" w:hAnsi="Arial Narrow"/>
          <w:i/>
          <w:i/>
          <w:sz w:val="32"/>
          <w:szCs w:val="20"/>
        </w:rPr>
      </w:pPr>
      <w:r>
        <w:rPr>
          <w:rFonts w:ascii="Arial Narrow" w:hAnsi="Arial Narrow"/>
          <w:i/>
          <w:sz w:val="32"/>
          <w:szCs w:val="20"/>
        </w:rPr>
        <w:t>Public Works</w:t>
      </w:r>
    </w:p>
    <w:p>
      <w:pPr>
        <w:pStyle w:val="Normal"/>
        <w:rPr>
          <w:rFonts w:ascii="Arial Narrow" w:hAnsi="Arial Narrow"/>
          <w:i/>
          <w:i/>
          <w:sz w:val="32"/>
          <w:szCs w:val="20"/>
        </w:rPr>
      </w:pPr>
      <w:r>
        <w:rPr>
          <w:rFonts w:ascii="Arial Narrow" w:hAnsi="Arial Narrow"/>
          <w:i/>
          <w:sz w:val="32"/>
          <w:szCs w:val="20"/>
        </w:rPr>
        <w:t>Cedar Lake Water Department</w:t>
      </w:r>
    </w:p>
    <w:p>
      <w:pPr>
        <w:pStyle w:val="Normal"/>
        <w:rPr>
          <w:rFonts w:ascii="Arial Narrow" w:hAnsi="Arial Narrow"/>
          <w:sz w:val="32"/>
          <w:szCs w:val="20"/>
        </w:rPr>
      </w:pPr>
      <w:r>
        <w:rPr>
          <w:rFonts w:ascii="Arial Narrow" w:hAnsi="Arial Narrow"/>
          <w:sz w:val="32"/>
          <w:szCs w:val="20"/>
        </w:rPr>
        <w:t>8550 Lake Shore Drive, Cedar Lake, IN  46303</w:t>
      </w:r>
    </w:p>
    <w:p>
      <w:pPr>
        <w:pStyle w:val="Normal"/>
        <w:rPr>
          <w:rFonts w:ascii="Arial Narrow" w:hAnsi="Arial Narrow"/>
          <w:sz w:val="28"/>
          <w:szCs w:val="20"/>
        </w:rPr>
      </w:pPr>
      <w:r>
        <w:rPr>
          <w:rFonts w:ascii="Arial Narrow" w:hAnsi="Arial Narrow"/>
          <w:sz w:val="28"/>
          <w:szCs w:val="20"/>
        </w:rPr>
        <w:t>PWSID# 5245067</w:t>
      </w:r>
    </w:p>
    <w:p>
      <w:pPr>
        <w:pStyle w:val="Normal"/>
        <w:rPr>
          <w:rFonts w:ascii="Arial Narrow" w:hAnsi="Arial Narrow"/>
          <w:sz w:val="32"/>
          <w:szCs w:val="20"/>
        </w:rPr>
      </w:pPr>
      <w:r>
        <w:rPr>
          <w:rFonts w:ascii="Arial Narrow" w:hAnsi="Arial Narrow"/>
          <w:sz w:val="32"/>
          <w:szCs w:val="20"/>
        </w:rPr>
        <w:t>Consumer Confidence Drinking Water Report</w:t>
      </w:r>
    </w:p>
    <w:p>
      <w:pPr>
        <w:pStyle w:val="Normal"/>
        <w:rPr>
          <w:rFonts w:ascii="Arial Narrow" w:hAnsi="Arial Narrow"/>
          <w:sz w:val="32"/>
          <w:szCs w:val="20"/>
        </w:rPr>
      </w:pPr>
      <w:r>
        <w:rPr>
          <w:rFonts w:ascii="Arial Narrow" w:hAnsi="Arial Narrow"/>
          <w:sz w:val="32"/>
          <w:szCs w:val="20"/>
        </w:rPr>
        <w:t>1-1-2023 to 12-31-2023</w:t>
      </w:r>
    </w:p>
    <w:p>
      <w:pPr>
        <w:pStyle w:val="Normal"/>
        <w:rPr>
          <w:rFonts w:ascii="Calibri" w:hAnsi="Calibri"/>
          <w:sz w:val="20"/>
          <w:szCs w:val="20"/>
        </w:rPr>
      </w:pPr>
      <w:r>
        <w:rPr>
          <w:sz w:val="20"/>
          <w:szCs w:val="20"/>
        </w:rPr>
      </w:r>
    </w:p>
    <w:p>
      <w:pPr>
        <w:pStyle w:val="Normal"/>
        <w:jc w:val="both"/>
        <w:rPr>
          <w:rFonts w:ascii="Arial Narrow" w:hAnsi="Arial Narrow"/>
          <w:szCs w:val="20"/>
        </w:rPr>
      </w:pPr>
      <w:r>
        <w:rPr>
          <w:rFonts w:ascii="Arial Narrow" w:hAnsi="Arial Narrow"/>
          <w:szCs w:val="20"/>
        </w:rPr>
        <w:t>This is a report on the quality of the drinking water supplied by the Cedar Lake Water Utility for the fiscal year 2023. Questions regarding this report should be to the Cedar Lake Water Department at (219)-374-7478, Water Superintendent, Ryan Kuiper.</w:t>
      </w:r>
    </w:p>
    <w:p>
      <w:pPr>
        <w:pStyle w:val="Normal"/>
        <w:jc w:val="both"/>
        <w:rPr>
          <w:rFonts w:ascii="Arial Narrow" w:hAnsi="Arial Narrow"/>
          <w:szCs w:val="20"/>
        </w:rPr>
      </w:pPr>
      <w:r>
        <w:rPr>
          <w:rFonts w:ascii="Arial Narrow" w:hAnsi="Arial Narrow"/>
          <w:szCs w:val="20"/>
        </w:rPr>
      </w:r>
    </w:p>
    <w:p>
      <w:pPr>
        <w:pStyle w:val="Normal"/>
        <w:jc w:val="both"/>
        <w:rPr>
          <w:rFonts w:ascii="Arial Narrow" w:hAnsi="Arial Narrow"/>
          <w:szCs w:val="20"/>
        </w:rPr>
      </w:pPr>
      <w:r>
        <w:rPr>
          <w:rFonts w:ascii="Arial Narrow" w:hAnsi="Arial Narrow"/>
          <w:szCs w:val="20"/>
        </w:rPr>
        <w:t>According to these assessments, your water system has a low risk of being susceptible to contamination. Further information about the source water assessment can be obtained by contacting Mr. Kevin Spindler of IDEM’s Drinking Water Branch at (317)-234-3243.</w:t>
      </w:r>
    </w:p>
    <w:p>
      <w:pPr>
        <w:pStyle w:val="Normal"/>
        <w:jc w:val="both"/>
        <w:rPr>
          <w:rFonts w:ascii="Arial Narrow" w:hAnsi="Arial Narrow"/>
          <w:szCs w:val="20"/>
        </w:rPr>
      </w:pPr>
      <w:r>
        <w:rPr>
          <w:rFonts w:ascii="Arial Narrow" w:hAnsi="Arial Narrow"/>
          <w:szCs w:val="20"/>
        </w:rPr>
      </w:r>
    </w:p>
    <w:p>
      <w:pPr>
        <w:pStyle w:val="Normal"/>
        <w:jc w:val="both"/>
        <w:rPr>
          <w:rFonts w:ascii="Arial Narrow" w:hAnsi="Arial Narrow"/>
          <w:szCs w:val="20"/>
        </w:rPr>
      </w:pPr>
      <w:r>
        <w:rPr>
          <w:rFonts w:ascii="Arial Narrow" w:hAnsi="Arial Narrow"/>
          <w:szCs w:val="20"/>
        </w:rPr>
        <w:t>Cedar Lake Water Utility routinely monitors for contaminants in the drinking water according to Environmental Protection Agency and Indiana Department of Environmental Management requirements. These contaminants include:</w:t>
      </w:r>
    </w:p>
    <w:p>
      <w:pPr>
        <w:pStyle w:val="Normal"/>
        <w:jc w:val="left"/>
        <w:rPr>
          <w:rFonts w:ascii="Arial Narrow" w:hAnsi="Arial Narrow"/>
          <w:szCs w:val="20"/>
        </w:rPr>
      </w:pPr>
      <w:r>
        <w:rPr>
          <w:rFonts w:ascii="Arial Narrow" w:hAnsi="Arial Narrow"/>
          <w:szCs w:val="20"/>
        </w:rPr>
      </w:r>
    </w:p>
    <w:p>
      <w:pPr>
        <w:pStyle w:val="ListParagraph"/>
        <w:numPr>
          <w:ilvl w:val="0"/>
          <w:numId w:val="1"/>
        </w:numPr>
        <w:jc w:val="both"/>
        <w:rPr>
          <w:rFonts w:ascii="Arial Narrow" w:hAnsi="Arial Narrow"/>
          <w:szCs w:val="20"/>
        </w:rPr>
      </w:pPr>
      <w:r>
        <w:rPr>
          <w:rFonts w:ascii="Arial Narrow" w:hAnsi="Arial Narrow"/>
          <w:b/>
          <w:szCs w:val="20"/>
        </w:rPr>
        <w:t>Microbial Contaminants</w:t>
      </w:r>
      <w:r>
        <w:rPr>
          <w:rFonts w:ascii="Arial Narrow" w:hAnsi="Arial Narrow"/>
          <w:szCs w:val="20"/>
        </w:rPr>
        <w:t>, such as viruses and bacteria, which may come from sewage treatment plants, septic systems, agricultural livestock operations and wildlife.</w:t>
      </w:r>
    </w:p>
    <w:p>
      <w:pPr>
        <w:pStyle w:val="ListParagraph"/>
        <w:numPr>
          <w:ilvl w:val="0"/>
          <w:numId w:val="1"/>
        </w:numPr>
        <w:jc w:val="both"/>
        <w:rPr>
          <w:rFonts w:ascii="Arial Narrow" w:hAnsi="Arial Narrow"/>
          <w:szCs w:val="20"/>
        </w:rPr>
      </w:pPr>
      <w:r>
        <w:rPr>
          <w:rFonts w:ascii="Arial Narrow" w:hAnsi="Arial Narrow"/>
          <w:b/>
          <w:szCs w:val="20"/>
        </w:rPr>
        <w:t>Inorganic Contaminants</w:t>
      </w:r>
      <w:r>
        <w:rPr>
          <w:rFonts w:ascii="Arial Narrow" w:hAnsi="Arial Narrow"/>
          <w:szCs w:val="20"/>
        </w:rPr>
        <w:t>, such as salts and metals, which can be naturally occurring or result from urban storm water runoff, industrial or domestic wastewater discharges, oil and gas production, mining, or farming.</w:t>
      </w:r>
    </w:p>
    <w:p>
      <w:pPr>
        <w:pStyle w:val="ListParagraph"/>
        <w:numPr>
          <w:ilvl w:val="0"/>
          <w:numId w:val="1"/>
        </w:numPr>
        <w:jc w:val="both"/>
        <w:rPr>
          <w:rFonts w:ascii="Arial Narrow" w:hAnsi="Arial Narrow"/>
          <w:szCs w:val="20"/>
        </w:rPr>
      </w:pPr>
      <w:r>
        <w:rPr>
          <w:rFonts w:ascii="Arial Narrow" w:hAnsi="Arial Narrow"/>
          <w:b/>
          <w:szCs w:val="20"/>
        </w:rPr>
        <w:t>Pesticides and Herbicides</w:t>
      </w:r>
      <w:r>
        <w:rPr>
          <w:rFonts w:ascii="Arial Narrow" w:hAnsi="Arial Narrow"/>
          <w:szCs w:val="20"/>
        </w:rPr>
        <w:t>, which may come from a variety of sources such as agriculture, storm water runoff, and residential uses.</w:t>
      </w:r>
    </w:p>
    <w:p>
      <w:pPr>
        <w:pStyle w:val="ListParagraph"/>
        <w:numPr>
          <w:ilvl w:val="0"/>
          <w:numId w:val="1"/>
        </w:numPr>
        <w:jc w:val="both"/>
        <w:rPr>
          <w:rFonts w:ascii="Arial Narrow" w:hAnsi="Arial Narrow"/>
          <w:szCs w:val="20"/>
        </w:rPr>
      </w:pPr>
      <w:r>
        <w:rPr>
          <w:rFonts w:ascii="Arial Narrow" w:hAnsi="Arial Narrow"/>
          <w:b/>
          <w:szCs w:val="20"/>
        </w:rPr>
        <w:t>Organic Chemical Contaminants</w:t>
      </w:r>
      <w:r>
        <w:rPr>
          <w:rFonts w:ascii="Arial Narrow" w:hAnsi="Arial Narrow"/>
          <w:szCs w:val="20"/>
        </w:rPr>
        <w:t>, including synthetic and volatile organic chemicals, which are byproducts of industrial processes and petroleum productions, and can also result from gas stations, urban storm runoff and septic systems.</w:t>
      </w:r>
    </w:p>
    <w:p>
      <w:pPr>
        <w:pStyle w:val="ListParagraph"/>
        <w:numPr>
          <w:ilvl w:val="0"/>
          <w:numId w:val="1"/>
        </w:numPr>
        <w:jc w:val="both"/>
        <w:rPr>
          <w:rFonts w:ascii="Arial Narrow" w:hAnsi="Arial Narrow"/>
          <w:szCs w:val="20"/>
        </w:rPr>
      </w:pPr>
      <w:r>
        <w:rPr>
          <w:rFonts w:ascii="Arial Narrow" w:hAnsi="Arial Narrow"/>
          <w:b/>
          <w:szCs w:val="20"/>
        </w:rPr>
        <w:t>Radioactive Contaminants</w:t>
      </w:r>
      <w:r>
        <w:rPr>
          <w:rFonts w:ascii="Arial Narrow" w:hAnsi="Arial Narrow"/>
          <w:szCs w:val="20"/>
        </w:rPr>
        <w:t>, which can be naturally occurring or the result of oil and gas production and mining activities.</w:t>
      </w:r>
    </w:p>
    <w:p>
      <w:pPr>
        <w:pStyle w:val="Normal"/>
        <w:jc w:val="left"/>
        <w:rPr>
          <w:rFonts w:ascii="Arial Narrow" w:hAnsi="Arial Narrow"/>
          <w:szCs w:val="20"/>
        </w:rPr>
      </w:pPr>
      <w:r>
        <w:rPr>
          <w:rFonts w:ascii="Arial Narrow" w:hAnsi="Arial Narrow"/>
          <w:szCs w:val="20"/>
        </w:rPr>
      </w:r>
    </w:p>
    <w:p>
      <w:pPr>
        <w:pStyle w:val="Normal"/>
        <w:jc w:val="both"/>
        <w:rPr>
          <w:rFonts w:ascii="Arial Narrow" w:hAnsi="Arial Narrow"/>
          <w:szCs w:val="20"/>
        </w:rPr>
      </w:pPr>
      <w:r>
        <w:rPr>
          <w:rFonts w:ascii="Arial Narrow" w:hAnsi="Arial Narrow"/>
          <w:szCs w:val="20"/>
        </w:rPr>
        <w:t>All sources of drinking water are subject to potential contamination by substances that are naturally occurring or manmade. These substances can be microbes, inorganic or organic chemicals and radioactive substances. All drinking water, including bottled water, may reasonably be expected to contain at least small amounts of some contaminants. The presence of contaminants does NOT necessarily indicate that the water poses and health risks. More information about contaminants and potential health effects can be obtained by calling the Environmental Protection Agency Safe Drinking Water Hotline at (800) 426-4791.</w:t>
      </w:r>
    </w:p>
    <w:p>
      <w:pPr>
        <w:pStyle w:val="Normal"/>
        <w:jc w:val="both"/>
        <w:rPr>
          <w:rFonts w:ascii="Arial Narrow" w:hAnsi="Arial Narrow"/>
          <w:szCs w:val="20"/>
        </w:rPr>
      </w:pPr>
      <w:r>
        <w:rPr>
          <w:rFonts w:ascii="Arial Narrow" w:hAnsi="Arial Narrow"/>
          <w:szCs w:val="20"/>
        </w:rPr>
      </w:r>
    </w:p>
    <w:p>
      <w:pPr>
        <w:pStyle w:val="Normal"/>
        <w:jc w:val="both"/>
        <w:rPr>
          <w:rFonts w:ascii="Arial Narrow" w:hAnsi="Arial Narrow"/>
          <w:szCs w:val="20"/>
        </w:rPr>
      </w:pPr>
      <w:r>
        <w:rPr>
          <w:rFonts w:ascii="Arial Narrow" w:hAnsi="Arial Narrow"/>
          <w:szCs w:val="20"/>
        </w:rPr>
        <w:t>Where does my water come from? Between 60-72% of Indiana’s population relies on ground water for drinking and household use. The Cedar Lake Water Utilities source is the Silurian Devonian Aquifer. The Cedar Lake Water Utility has two (2) wells.</w:t>
      </w:r>
    </w:p>
    <w:tbl>
      <w:tblPr>
        <w:tblW w:w="13012" w:type="dxa"/>
        <w:jc w:val="left"/>
        <w:tblInd w:w="0" w:type="dxa"/>
        <w:tblLayout w:type="fixed"/>
        <w:tblCellMar>
          <w:top w:w="0" w:type="dxa"/>
          <w:left w:w="0" w:type="dxa"/>
          <w:bottom w:w="0" w:type="dxa"/>
          <w:right w:w="0" w:type="dxa"/>
        </w:tblCellMar>
      </w:tblPr>
      <w:tblGrid>
        <w:gridCol w:w="53"/>
        <w:gridCol w:w="44"/>
        <w:gridCol w:w="46"/>
        <w:gridCol w:w="44"/>
        <w:gridCol w:w="44"/>
        <w:gridCol w:w="47"/>
        <w:gridCol w:w="12469"/>
        <w:gridCol w:w="46"/>
        <w:gridCol w:w="44"/>
        <w:gridCol w:w="174"/>
      </w:tblGrid>
      <w:tr>
        <w:trPr>
          <w:trHeight w:val="551" w:hRule="atLeast"/>
        </w:trPr>
        <w:tc>
          <w:tcPr>
            <w:tcW w:w="53" w:type="dxa"/>
            <w:tcBorders/>
          </w:tcPr>
          <w:p>
            <w:pPr>
              <w:pStyle w:val="EmptyCellLayoutStyle"/>
              <w:spacing w:lineRule="auto" w:line="240" w:before="0" w:after="0"/>
              <w:rPr/>
            </w:pPr>
            <w:r>
              <w:rPr/>
            </w:r>
          </w:p>
        </w:tc>
        <w:tc>
          <w:tcPr>
            <w:tcW w:w="12784" w:type="dxa"/>
            <w:gridSpan w:val="8"/>
            <w:tcBorders/>
          </w:tcPr>
          <w:tbl>
            <w:tblPr>
              <w:tblW w:w="12778" w:type="dxa"/>
              <w:jc w:val="left"/>
              <w:tblInd w:w="0" w:type="dxa"/>
              <w:tblLayout w:type="fixed"/>
              <w:tblCellMar>
                <w:top w:w="39" w:type="dxa"/>
                <w:left w:w="39" w:type="dxa"/>
                <w:bottom w:w="39" w:type="dxa"/>
                <w:right w:w="39" w:type="dxa"/>
              </w:tblCellMar>
            </w:tblPr>
            <w:tblGrid>
              <w:gridCol w:w="12778"/>
            </w:tblGrid>
            <w:tr>
              <w:trPr>
                <w:trHeight w:val="473" w:hRule="atLeast"/>
              </w:trPr>
              <w:tc>
                <w:tcPr>
                  <w:tcW w:w="12778" w:type="dxa"/>
                  <w:tcBorders/>
                </w:tcPr>
                <w:p>
                  <w:pPr>
                    <w:pStyle w:val="Normal1"/>
                    <w:spacing w:lineRule="auto" w:line="240" w:before="0" w:after="0"/>
                    <w:rPr>
                      <w:rStyle w:val="DefaultParagraphFont"/>
                      <w:rFonts w:ascii="Calibri" w:hAnsi="Calibri" w:eastAsia="Calibri"/>
                      <w:color w:val="000000"/>
                    </w:rPr>
                  </w:pPr>
                  <w:r>
                    <w:rPr>
                      <w:rFonts w:eastAsia="Calibri"/>
                      <w:color w:val="000000"/>
                    </w:rPr>
                  </w:r>
                </w:p>
                <w:p>
                  <w:pPr>
                    <w:pStyle w:val="Normal1"/>
                    <w:spacing w:lineRule="auto" w:line="240" w:before="0" w:after="0"/>
                    <w:rPr/>
                  </w:pPr>
                  <w:r>
                    <w:rPr>
                      <w:rStyle w:val="DefaultParagraphFont"/>
                      <w:rFonts w:eastAsia="Calibri"/>
                      <w:color w:val="000000"/>
                    </w:rPr>
                    <w:t>Our water system tested a minimum of 1 samples per month in accordance with the Total Coliform Rule for microbiological contaminants.  With the microbiological samples collected, the water system collects disinfectant residuals to ensure control of microbial growth.</w:t>
                  </w:r>
                </w:p>
              </w:tc>
            </w:tr>
          </w:tbl>
          <w:p>
            <w:pPr>
              <w:pStyle w:val="Normal1"/>
              <w:spacing w:lineRule="auto" w:line="240" w:before="0" w:after="0"/>
              <w:rPr/>
            </w:pPr>
            <w:r>
              <w:rPr/>
            </w:r>
          </w:p>
        </w:tc>
        <w:tc>
          <w:tcPr>
            <w:tcW w:w="174" w:type="dxa"/>
            <w:tcBorders/>
          </w:tcPr>
          <w:p>
            <w:pPr>
              <w:pStyle w:val="EmptyCellLayoutStyle"/>
              <w:spacing w:lineRule="auto" w:line="240" w:before="0" w:after="0"/>
              <w:rPr/>
            </w:pPr>
            <w:r>
              <w:rPr/>
            </w:r>
          </w:p>
        </w:tc>
      </w:tr>
      <w:tr>
        <w:trPr>
          <w:trHeight w:val="42" w:hRule="atLeast"/>
        </w:trPr>
        <w:tc>
          <w:tcPr>
            <w:tcW w:w="53" w:type="dxa"/>
            <w:tcBorders/>
          </w:tcPr>
          <w:p>
            <w:pPr>
              <w:pStyle w:val="EmptyCellLayoutStyle"/>
              <w:spacing w:lineRule="auto" w:line="240" w:before="0" w:after="0"/>
              <w:rPr/>
            </w:pPr>
            <w:r>
              <w:rPr/>
            </w:r>
          </w:p>
        </w:tc>
        <w:tc>
          <w:tcPr>
            <w:tcW w:w="44" w:type="dxa"/>
            <w:tcBorders/>
          </w:tcPr>
          <w:p>
            <w:pPr>
              <w:pStyle w:val="EmptyCellLayoutStyle"/>
              <w:spacing w:lineRule="auto" w:line="240" w:before="0" w:after="0"/>
              <w:rPr/>
            </w:pPr>
            <w:r>
              <w:rPr/>
            </w:r>
          </w:p>
        </w:tc>
        <w:tc>
          <w:tcPr>
            <w:tcW w:w="46" w:type="dxa"/>
            <w:tcBorders/>
          </w:tcPr>
          <w:p>
            <w:pPr>
              <w:pStyle w:val="EmptyCellLayoutStyle"/>
              <w:spacing w:lineRule="auto" w:line="240" w:before="0" w:after="0"/>
              <w:rPr/>
            </w:pPr>
            <w:r>
              <w:rPr/>
            </w:r>
          </w:p>
        </w:tc>
        <w:tc>
          <w:tcPr>
            <w:tcW w:w="44" w:type="dxa"/>
            <w:tcBorders/>
          </w:tcPr>
          <w:p>
            <w:pPr>
              <w:pStyle w:val="EmptyCellLayoutStyle"/>
              <w:spacing w:lineRule="auto" w:line="240" w:before="0" w:after="0"/>
              <w:rPr/>
            </w:pPr>
            <w:r>
              <w:rPr/>
            </w:r>
          </w:p>
        </w:tc>
        <w:tc>
          <w:tcPr>
            <w:tcW w:w="44" w:type="dxa"/>
            <w:tcBorders/>
          </w:tcPr>
          <w:p>
            <w:pPr>
              <w:pStyle w:val="EmptyCellLayoutStyle"/>
              <w:spacing w:lineRule="auto" w:line="240" w:before="0" w:after="0"/>
              <w:rPr/>
            </w:pPr>
            <w:r>
              <w:rPr/>
            </w:r>
          </w:p>
        </w:tc>
        <w:tc>
          <w:tcPr>
            <w:tcW w:w="47" w:type="dxa"/>
            <w:tcBorders/>
          </w:tcPr>
          <w:p>
            <w:pPr>
              <w:pStyle w:val="EmptyCellLayoutStyle"/>
              <w:spacing w:lineRule="auto" w:line="240" w:before="0" w:after="0"/>
              <w:rPr/>
            </w:pPr>
            <w:r>
              <w:rPr/>
            </w:r>
          </w:p>
        </w:tc>
        <w:tc>
          <w:tcPr>
            <w:tcW w:w="12469" w:type="dxa"/>
            <w:tcBorders/>
          </w:tcPr>
          <w:p>
            <w:pPr>
              <w:pStyle w:val="EmptyCellLayoutStyle"/>
              <w:spacing w:lineRule="auto" w:line="240" w:before="0" w:after="0"/>
              <w:rPr/>
            </w:pPr>
            <w:r>
              <w:rPr/>
            </w:r>
          </w:p>
        </w:tc>
        <w:tc>
          <w:tcPr>
            <w:tcW w:w="46" w:type="dxa"/>
            <w:tcBorders/>
          </w:tcPr>
          <w:p>
            <w:pPr>
              <w:pStyle w:val="EmptyCellLayoutStyle"/>
              <w:spacing w:lineRule="auto" w:line="240" w:before="0" w:after="0"/>
              <w:rPr/>
            </w:pPr>
            <w:r>
              <w:rPr/>
            </w:r>
          </w:p>
        </w:tc>
        <w:tc>
          <w:tcPr>
            <w:tcW w:w="44" w:type="dxa"/>
            <w:tcBorders/>
          </w:tcPr>
          <w:p>
            <w:pPr>
              <w:pStyle w:val="EmptyCellLayoutStyle"/>
              <w:spacing w:lineRule="auto" w:line="240" w:before="0" w:after="0"/>
              <w:rPr/>
            </w:pPr>
            <w:r>
              <w:rPr/>
            </w:r>
          </w:p>
        </w:tc>
        <w:tc>
          <w:tcPr>
            <w:tcW w:w="174" w:type="dxa"/>
            <w:tcBorders/>
          </w:tcPr>
          <w:p>
            <w:pPr>
              <w:pStyle w:val="EmptyCellLayoutStyle"/>
              <w:spacing w:lineRule="auto" w:line="240" w:before="0" w:after="0"/>
              <w:rPr/>
            </w:pPr>
            <w:r>
              <w:rPr/>
            </w:r>
          </w:p>
        </w:tc>
      </w:tr>
      <w:tr>
        <w:trPr/>
        <w:tc>
          <w:tcPr>
            <w:tcW w:w="53" w:type="dxa"/>
            <w:tcBorders/>
          </w:tcPr>
          <w:p>
            <w:pPr>
              <w:pStyle w:val="EmptyCellLayoutStyle"/>
              <w:spacing w:lineRule="auto" w:line="240" w:before="0" w:after="0"/>
              <w:rPr/>
            </w:pPr>
            <w:r>
              <w:rPr/>
            </w:r>
          </w:p>
        </w:tc>
        <w:tc>
          <w:tcPr>
            <w:tcW w:w="44" w:type="dxa"/>
            <w:tcBorders/>
          </w:tcPr>
          <w:p>
            <w:pPr>
              <w:pStyle w:val="EmptyCellLayoutStyle"/>
              <w:spacing w:lineRule="auto" w:line="240" w:before="0" w:after="0"/>
              <w:rPr/>
            </w:pPr>
            <w:r>
              <w:rPr/>
            </w:r>
          </w:p>
        </w:tc>
        <w:tc>
          <w:tcPr>
            <w:tcW w:w="46" w:type="dxa"/>
            <w:tcBorders/>
          </w:tcPr>
          <w:p>
            <w:pPr>
              <w:pStyle w:val="EmptyCellLayoutStyle"/>
              <w:spacing w:lineRule="auto" w:line="240" w:before="0" w:after="0"/>
              <w:rPr/>
            </w:pPr>
            <w:r>
              <w:rPr/>
            </w:r>
          </w:p>
        </w:tc>
        <w:tc>
          <w:tcPr>
            <w:tcW w:w="44" w:type="dxa"/>
            <w:tcBorders/>
          </w:tcPr>
          <w:p>
            <w:pPr>
              <w:pStyle w:val="EmptyCellLayoutStyle"/>
              <w:spacing w:lineRule="auto" w:line="240" w:before="0" w:after="0"/>
              <w:rPr/>
            </w:pPr>
            <w:r>
              <w:rPr/>
            </w:r>
          </w:p>
        </w:tc>
        <w:tc>
          <w:tcPr>
            <w:tcW w:w="44" w:type="dxa"/>
            <w:tcBorders/>
          </w:tcPr>
          <w:p>
            <w:pPr>
              <w:pStyle w:val="EmptyCellLayoutStyle"/>
              <w:spacing w:lineRule="auto" w:line="240" w:before="0" w:after="0"/>
              <w:rPr/>
            </w:pPr>
            <w:r>
              <w:rPr/>
            </w:r>
          </w:p>
        </w:tc>
        <w:tc>
          <w:tcPr>
            <w:tcW w:w="47" w:type="dxa"/>
            <w:tcBorders/>
          </w:tcPr>
          <w:p>
            <w:pPr>
              <w:pStyle w:val="EmptyCellLayoutStyle"/>
              <w:spacing w:lineRule="auto" w:line="240" w:before="0" w:after="0"/>
              <w:rPr/>
            </w:pPr>
            <w:r>
              <w:rPr/>
            </w:r>
          </w:p>
        </w:tc>
        <w:tc>
          <w:tcPr>
            <w:tcW w:w="12469" w:type="dxa"/>
            <w:tcBorders/>
          </w:tcPr>
          <w:tbl>
            <w:tblPr>
              <w:tblW w:w="12689" w:type="dxa"/>
              <w:jc w:val="left"/>
              <w:tblInd w:w="0" w:type="dxa"/>
              <w:tblLayout w:type="fixed"/>
              <w:tblCellMar>
                <w:top w:w="39" w:type="dxa"/>
                <w:left w:w="99" w:type="dxa"/>
                <w:bottom w:w="39" w:type="dxa"/>
                <w:right w:w="39" w:type="dxa"/>
              </w:tblCellMar>
            </w:tblPr>
            <w:tblGrid>
              <w:gridCol w:w="1639"/>
              <w:gridCol w:w="858"/>
              <w:gridCol w:w="1321"/>
              <w:gridCol w:w="662"/>
              <w:gridCol w:w="1297"/>
              <w:gridCol w:w="605"/>
              <w:gridCol w:w="718"/>
              <w:gridCol w:w="5587"/>
            </w:tblGrid>
            <w:tr>
              <w:trPr>
                <w:trHeight w:val="210" w:hRule="atLeast"/>
              </w:trPr>
              <w:tc>
                <w:tcPr>
                  <w:tcW w:w="1639" w:type="dxa"/>
                  <w:tcBorders>
                    <w:top w:val="single" w:sz="8" w:space="0" w:color="808080"/>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99"/>
                      <w:sz w:val="18"/>
                    </w:rPr>
                    <w:t>Disinfectant</w:t>
                  </w:r>
                </w:p>
              </w:tc>
              <w:tc>
                <w:tcPr>
                  <w:tcW w:w="858"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Date</w:t>
                  </w:r>
                </w:p>
              </w:tc>
              <w:tc>
                <w:tcPr>
                  <w:tcW w:w="1321"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HighestRAA</w:t>
                  </w:r>
                </w:p>
              </w:tc>
              <w:tc>
                <w:tcPr>
                  <w:tcW w:w="662"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Unit</w:t>
                  </w:r>
                </w:p>
              </w:tc>
              <w:tc>
                <w:tcPr>
                  <w:tcW w:w="1297"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Range</w:t>
                  </w:r>
                </w:p>
              </w:tc>
              <w:tc>
                <w:tcPr>
                  <w:tcW w:w="605"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MRDL</w:t>
                  </w:r>
                </w:p>
              </w:tc>
              <w:tc>
                <w:tcPr>
                  <w:tcW w:w="718"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MRDLG</w:t>
                  </w:r>
                </w:p>
              </w:tc>
              <w:tc>
                <w:tcPr>
                  <w:tcW w:w="5587"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Typical Source</w:t>
                  </w:r>
                </w:p>
              </w:tc>
            </w:tr>
            <w:tr>
              <w:trPr>
                <w:trHeight w:val="210" w:hRule="atLeast"/>
              </w:trPr>
              <w:tc>
                <w:tcPr>
                  <w:tcW w:w="1639" w:type="dxa"/>
                  <w:tcBorders>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33"/>
                      <w:sz w:val="18"/>
                    </w:rPr>
                    <w:t>CHLORINE</w:t>
                  </w:r>
                </w:p>
              </w:tc>
              <w:tc>
                <w:tcPr>
                  <w:tcW w:w="858"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2023</w:t>
                  </w:r>
                </w:p>
              </w:tc>
              <w:tc>
                <w:tcPr>
                  <w:tcW w:w="1321"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1</w:t>
                  </w:r>
                </w:p>
              </w:tc>
              <w:tc>
                <w:tcPr>
                  <w:tcW w:w="662"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ppm</w:t>
                  </w:r>
                </w:p>
              </w:tc>
              <w:tc>
                <w:tcPr>
                  <w:tcW w:w="1297"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0.35 - 3</w:t>
                  </w:r>
                </w:p>
              </w:tc>
              <w:tc>
                <w:tcPr>
                  <w:tcW w:w="605"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4</w:t>
                  </w:r>
                </w:p>
              </w:tc>
              <w:tc>
                <w:tcPr>
                  <w:tcW w:w="718"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4</w:t>
                  </w:r>
                </w:p>
              </w:tc>
              <w:tc>
                <w:tcPr>
                  <w:tcW w:w="5587"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Water additive used to control microbes</w:t>
                  </w:r>
                </w:p>
              </w:tc>
            </w:tr>
          </w:tbl>
          <w:p>
            <w:pPr>
              <w:pStyle w:val="Normal1"/>
              <w:spacing w:lineRule="auto" w:line="240" w:before="0" w:after="0"/>
              <w:rPr/>
            </w:pPr>
            <w:r>
              <w:rPr/>
            </w:r>
          </w:p>
        </w:tc>
        <w:tc>
          <w:tcPr>
            <w:tcW w:w="46" w:type="dxa"/>
            <w:tcBorders/>
          </w:tcPr>
          <w:p>
            <w:pPr>
              <w:pStyle w:val="EmptyCellLayoutStyle"/>
              <w:spacing w:lineRule="auto" w:line="240" w:before="0" w:after="0"/>
              <w:rPr/>
            </w:pPr>
            <w:r>
              <w:rPr/>
            </w:r>
          </w:p>
        </w:tc>
        <w:tc>
          <w:tcPr>
            <w:tcW w:w="44" w:type="dxa"/>
            <w:tcBorders/>
          </w:tcPr>
          <w:p>
            <w:pPr>
              <w:pStyle w:val="EmptyCellLayoutStyle"/>
              <w:spacing w:lineRule="auto" w:line="240" w:before="0" w:after="0"/>
              <w:rPr/>
            </w:pPr>
            <w:r>
              <w:rPr/>
            </w:r>
          </w:p>
        </w:tc>
        <w:tc>
          <w:tcPr>
            <w:tcW w:w="174" w:type="dxa"/>
            <w:tcBorders/>
          </w:tcPr>
          <w:p>
            <w:pPr>
              <w:pStyle w:val="EmptyCellLayoutStyle"/>
              <w:spacing w:lineRule="auto" w:line="240" w:before="0" w:after="0"/>
              <w:rPr/>
            </w:pPr>
            <w:r>
              <w:rPr/>
            </w:r>
          </w:p>
        </w:tc>
      </w:tr>
    </w:tbl>
    <w:p>
      <w:pPr>
        <w:pStyle w:val="Normal"/>
        <w:jc w:val="both"/>
        <w:rPr>
          <w:rFonts w:ascii="Arial Narrow" w:hAnsi="Arial Narrow"/>
          <w:szCs w:val="20"/>
        </w:rPr>
      </w:pPr>
      <w:r>
        <w:rPr>
          <w:rFonts w:ascii="Arial Narrow" w:hAnsi="Arial Narrow"/>
          <w:szCs w:val="20"/>
        </w:rPr>
      </w:r>
    </w:p>
    <w:p>
      <w:pPr>
        <w:pStyle w:val="Normal"/>
        <w:bidi w:val="0"/>
        <w:spacing w:before="0" w:after="120"/>
        <w:ind w:hanging="0" w:left="300" w:right="0"/>
        <w:jc w:val="left"/>
        <w:rPr>
          <w:rFonts w:ascii="SansSerif;Arial" w:hAnsi="SansSerif;Arial" w:eastAsia="SansSerif;Arial" w:cs="SansSerif;Arial"/>
          <w:b/>
          <w:i w:val="false"/>
          <w:i w:val="false"/>
          <w:strike w:val="false"/>
          <w:dstrike w:val="false"/>
          <w:color w:val="000000"/>
          <w:sz w:val="20"/>
          <w:u w:val="none"/>
          <w:lang w:val="en-US"/>
        </w:rPr>
      </w:pPr>
      <w:r>
        <w:rPr>
          <w:rFonts w:eastAsia="SansSerif;Arial" w:cs="SansSerif;Arial" w:ascii="SansSerif;Arial" w:hAnsi="SansSerif;Arial"/>
          <w:b/>
          <w:i w:val="false"/>
          <w:strike w:val="false"/>
          <w:dstrike w:val="false"/>
          <w:color w:val="000000"/>
          <w:sz w:val="20"/>
          <w:u w:val="none"/>
          <w:lang w:val="en-US"/>
        </w:rPr>
      </w:r>
    </w:p>
    <w:p>
      <w:pPr>
        <w:pStyle w:val="Normal"/>
        <w:bidi w:val="0"/>
        <w:spacing w:before="0" w:after="120"/>
        <w:ind w:hanging="0" w:left="300" w:right="0"/>
        <w:jc w:val="left"/>
        <w:rPr>
          <w:rFonts w:ascii="SansSerif;Arial" w:hAnsi="SansSerif;Arial" w:eastAsia="SansSerif;Arial" w:cs="SansSerif;Arial"/>
          <w:b/>
          <w:i w:val="false"/>
          <w:i w:val="false"/>
          <w:strike w:val="false"/>
          <w:dstrike w:val="false"/>
          <w:color w:val="000000"/>
          <w:sz w:val="20"/>
          <w:u w:val="none"/>
          <w:lang w:val="en-US"/>
        </w:rPr>
      </w:pPr>
      <w:r>
        <w:rPr>
          <w:rFonts w:eastAsia="SansSerif;Arial" w:cs="SansSerif;Arial" w:ascii="SansSerif;Arial" w:hAnsi="SansSerif;Arial"/>
          <w:b/>
          <w:i w:val="false"/>
          <w:strike w:val="false"/>
          <w:dstrike w:val="false"/>
          <w:color w:val="000000"/>
          <w:sz w:val="20"/>
          <w:u w:val="none"/>
          <w:lang w:val="en-US"/>
        </w:rPr>
        <w:t>Lead and Copper</w:t>
      </w:r>
    </w:p>
    <w:p>
      <w:pPr>
        <w:pStyle w:val="Normal"/>
        <w:bidi w:val="0"/>
        <w:spacing w:before="0" w:after="0"/>
        <w:ind w:hanging="0" w:left="300" w:right="0"/>
        <w:jc w:val="left"/>
        <w:rPr>
          <w:rFonts w:ascii="SansSerif;Arial" w:hAnsi="SansSerif;Arial" w:eastAsia="SansSerif;Arial" w:cs="SansSerif;Arial"/>
          <w:b w:val="false"/>
          <w:i w:val="false"/>
          <w:i w:val="false"/>
          <w:strike w:val="false"/>
          <w:dstrike w:val="false"/>
          <w:color w:val="000000"/>
          <w:sz w:val="16"/>
          <w:u w:val="none"/>
          <w:lang w:val="en-US"/>
        </w:rPr>
      </w:pPr>
      <w:r>
        <w:rPr>
          <w:rFonts w:eastAsia="SansSerif;Arial" w:cs="SansSerif;Arial" w:ascii="SansSerif;Arial" w:hAnsi="SansSerif;Arial"/>
          <w:b w:val="false"/>
          <w:i w:val="false"/>
          <w:strike w:val="false"/>
          <w:dstrike w:val="false"/>
          <w:color w:val="000000"/>
          <w:sz w:val="16"/>
          <w:u w:val="none"/>
          <w:lang w:val="en-US"/>
        </w:rPr>
        <w:t xml:space="preserve">Definitions:  </w:t>
      </w:r>
    </w:p>
    <w:p>
      <w:pPr>
        <w:pStyle w:val="Normal"/>
        <w:bidi w:val="0"/>
        <w:ind w:hanging="0" w:left="300" w:right="0"/>
        <w:jc w:val="left"/>
        <w:rPr>
          <w:rFonts w:ascii="SansSerif;Arial" w:hAnsi="SansSerif;Arial" w:eastAsia="SansSerif;Arial" w:cs="SansSerif;Arial"/>
          <w:b w:val="false"/>
          <w:i w:val="false"/>
          <w:i w:val="false"/>
          <w:strike w:val="false"/>
          <w:dstrike w:val="false"/>
          <w:color w:val="000000"/>
          <w:sz w:val="16"/>
          <w:u w:val="none"/>
          <w:lang w:val="en-US"/>
        </w:rPr>
      </w:pPr>
      <w:r>
        <w:rPr>
          <w:rFonts w:eastAsia="SansSerif;Arial" w:cs="SansSerif;Arial" w:ascii="SansSerif;Arial" w:hAnsi="SansSerif;Arial"/>
          <w:b w:val="false"/>
          <w:i w:val="false"/>
          <w:strike w:val="false"/>
          <w:dstrike w:val="false"/>
          <w:color w:val="000000"/>
          <w:sz w:val="16"/>
          <w:u w:val="none"/>
          <w:lang w:val="en-US"/>
        </w:rPr>
        <w:t>Action Level Goal (ALG):  The level of a contaminant in drinking water below which there is no known or expected risk to health.  ALGs allow for a margin of safety.</w:t>
      </w:r>
    </w:p>
    <w:p>
      <w:pPr>
        <w:pStyle w:val="Normal"/>
        <w:bidi w:val="0"/>
        <w:ind w:hanging="0" w:left="300" w:right="0"/>
        <w:jc w:val="left"/>
        <w:rPr>
          <w:rFonts w:ascii="SansSerif;Arial" w:hAnsi="SansSerif;Arial" w:eastAsia="SansSerif;Arial" w:cs="SansSerif;Arial"/>
          <w:b w:val="false"/>
          <w:i w:val="false"/>
          <w:i w:val="false"/>
          <w:strike w:val="false"/>
          <w:dstrike w:val="false"/>
          <w:color w:val="000000"/>
          <w:sz w:val="16"/>
          <w:u w:val="none"/>
          <w:lang w:val="en-US"/>
        </w:rPr>
      </w:pPr>
      <w:r>
        <w:rPr>
          <w:rFonts w:eastAsia="SansSerif;Arial" w:cs="SansSerif;Arial" w:ascii="SansSerif;Arial" w:hAnsi="SansSerif;Arial"/>
          <w:b w:val="false"/>
          <w:i w:val="false"/>
          <w:strike w:val="false"/>
          <w:dstrike w:val="false"/>
          <w:color w:val="000000"/>
          <w:sz w:val="16"/>
          <w:u w:val="none"/>
          <w:lang w:val="en-US"/>
        </w:rPr>
        <w:t>Action Level:  The concentration of a contaminant which, if exceeded, triggers treatment or other requirements which a water system must follow.</w:t>
      </w:r>
    </w:p>
    <w:tbl>
      <w:tblPr>
        <w:tblW w:w="13005" w:type="dxa"/>
        <w:jc w:val="left"/>
        <w:tblInd w:w="0" w:type="dxa"/>
        <w:tblLayout w:type="fixed"/>
        <w:tblCellMar>
          <w:top w:w="0" w:type="dxa"/>
          <w:left w:w="0" w:type="dxa"/>
          <w:bottom w:w="0" w:type="dxa"/>
          <w:right w:w="0" w:type="dxa"/>
        </w:tblCellMar>
      </w:tblPr>
      <w:tblGrid>
        <w:gridCol w:w="270"/>
        <w:gridCol w:w="12695"/>
        <w:gridCol w:w="40"/>
      </w:tblGrid>
      <w:tr>
        <w:trPr/>
        <w:tc>
          <w:tcPr>
            <w:tcW w:w="270" w:type="dxa"/>
            <w:tcBorders/>
          </w:tcPr>
          <w:p>
            <w:pPr>
              <w:pStyle w:val="EmptyCellLayoutStyle"/>
              <w:spacing w:lineRule="auto" w:line="240" w:before="0" w:after="0"/>
              <w:rPr/>
            </w:pPr>
            <w:r>
              <w:rPr/>
            </w:r>
          </w:p>
        </w:tc>
        <w:tc>
          <w:tcPr>
            <w:tcW w:w="12695" w:type="dxa"/>
            <w:tcBorders/>
          </w:tcPr>
          <w:tbl>
            <w:tblPr>
              <w:tblW w:w="12724" w:type="dxa"/>
              <w:jc w:val="left"/>
              <w:tblInd w:w="-10" w:type="dxa"/>
              <w:tblLayout w:type="fixed"/>
              <w:tblCellMar>
                <w:top w:w="39" w:type="dxa"/>
                <w:left w:w="99" w:type="dxa"/>
                <w:bottom w:w="39" w:type="dxa"/>
                <w:right w:w="39" w:type="dxa"/>
              </w:tblCellMar>
            </w:tblPr>
            <w:tblGrid>
              <w:gridCol w:w="1509"/>
              <w:gridCol w:w="1182"/>
              <w:gridCol w:w="1806"/>
              <w:gridCol w:w="1663"/>
              <w:gridCol w:w="660"/>
              <w:gridCol w:w="768"/>
              <w:gridCol w:w="781"/>
              <w:gridCol w:w="4355"/>
            </w:tblGrid>
            <w:tr>
              <w:trPr>
                <w:trHeight w:val="642" w:hRule="atLeast"/>
              </w:trPr>
              <w:tc>
                <w:tcPr>
                  <w:tcW w:w="1509" w:type="dxa"/>
                  <w:tcBorders>
                    <w:top w:val="single" w:sz="8" w:space="0" w:color="808080"/>
                    <w:left w:val="single" w:sz="8" w:space="0" w:color="808080"/>
                    <w:bottom w:val="single" w:sz="8" w:space="0" w:color="808080"/>
                  </w:tcBorders>
                  <w:shd w:fill="FFFFFF" w:val="clear"/>
                </w:tcPr>
                <w:p>
                  <w:pPr>
                    <w:pStyle w:val="Normal2"/>
                    <w:spacing w:lineRule="auto" w:line="240" w:before="0" w:after="0"/>
                    <w:rPr/>
                  </w:pPr>
                  <w:r>
                    <w:rPr/>
                  </w:r>
                </w:p>
                <w:p>
                  <w:pPr>
                    <w:pStyle w:val="Normal2"/>
                    <w:spacing w:lineRule="auto" w:line="240" w:before="0" w:after="0"/>
                    <w:rPr/>
                  </w:pPr>
                  <w:r>
                    <w:rPr>
                      <w:rStyle w:val="DefaultParagraphFont"/>
                      <w:rFonts w:eastAsia="Calibri" w:ascii="Calibri" w:hAnsi="Calibri"/>
                      <w:color w:val="333399"/>
                      <w:sz w:val="18"/>
                    </w:rPr>
                    <w:t>Lead and Copper</w:t>
                  </w:r>
                </w:p>
              </w:tc>
              <w:tc>
                <w:tcPr>
                  <w:tcW w:w="1182" w:type="dxa"/>
                  <w:tcBorders>
                    <w:top w:val="single" w:sz="8" w:space="0" w:color="808080"/>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99"/>
                      <w:sz w:val="18"/>
                    </w:rPr>
                    <w:t>Period</w:t>
                  </w:r>
                </w:p>
              </w:tc>
              <w:tc>
                <w:tcPr>
                  <w:tcW w:w="1806" w:type="dxa"/>
                  <w:tcBorders>
                    <w:top w:val="single" w:sz="8" w:space="0" w:color="808080"/>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99"/>
                      <w:sz w:val="18"/>
                    </w:rPr>
                    <w:t>90TH Percentile: 90% of your water utility levels were less than</w:t>
                  </w:r>
                </w:p>
              </w:tc>
              <w:tc>
                <w:tcPr>
                  <w:tcW w:w="1663" w:type="dxa"/>
                  <w:tcBorders>
                    <w:top w:val="single" w:sz="8" w:space="0" w:color="808080"/>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1F3864"/>
                      <w:sz w:val="18"/>
                    </w:rPr>
                    <w:t>Range of Sampled Results</w:t>
                  </w:r>
                </w:p>
                <w:p>
                  <w:pPr>
                    <w:pStyle w:val="Normal2"/>
                    <w:spacing w:lineRule="auto" w:line="240" w:before="0" w:after="0"/>
                    <w:rPr/>
                  </w:pPr>
                  <w:r>
                    <w:rPr>
                      <w:rStyle w:val="DefaultParagraphFont"/>
                      <w:rFonts w:eastAsia="Calibri" w:ascii="Calibri" w:hAnsi="Calibri"/>
                      <w:color w:val="1F3864"/>
                      <w:sz w:val="18"/>
                    </w:rPr>
                    <w:t>(low - high)</w:t>
                  </w:r>
                </w:p>
              </w:tc>
              <w:tc>
                <w:tcPr>
                  <w:tcW w:w="660" w:type="dxa"/>
                  <w:tcBorders>
                    <w:top w:val="single" w:sz="8" w:space="0" w:color="808080"/>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1F3864"/>
                      <w:sz w:val="18"/>
                    </w:rPr>
                    <w:t>Unit</w:t>
                  </w:r>
                </w:p>
              </w:tc>
              <w:tc>
                <w:tcPr>
                  <w:tcW w:w="768" w:type="dxa"/>
                  <w:tcBorders>
                    <w:top w:val="single" w:sz="8" w:space="0" w:color="808080"/>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1F3864"/>
                      <w:sz w:val="18"/>
                    </w:rPr>
                    <w:t>AL</w:t>
                  </w:r>
                </w:p>
              </w:tc>
              <w:tc>
                <w:tcPr>
                  <w:tcW w:w="781" w:type="dxa"/>
                  <w:tcBorders>
                    <w:top w:val="single" w:sz="8" w:space="0" w:color="808080"/>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1F3864"/>
                      <w:sz w:val="18"/>
                    </w:rPr>
                    <w:t>Sites Over AL</w:t>
                  </w:r>
                </w:p>
              </w:tc>
              <w:tc>
                <w:tcPr>
                  <w:tcW w:w="4355" w:type="dxa"/>
                  <w:tcBorders>
                    <w:top w:val="single" w:sz="8" w:space="0" w:color="808080"/>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1F3864"/>
                      <w:sz w:val="18"/>
                    </w:rPr>
                    <w:t>Typical Source</w:t>
                  </w:r>
                </w:p>
              </w:tc>
            </w:tr>
            <w:tr>
              <w:trPr>
                <w:trHeight w:val="210" w:hRule="atLeast"/>
              </w:trPr>
              <w:tc>
                <w:tcPr>
                  <w:tcW w:w="1509" w:type="dxa"/>
                  <w:tcBorders>
                    <w:left w:val="single" w:sz="8" w:space="0" w:color="808080"/>
                    <w:bottom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COPPER, FREE</w:t>
                  </w:r>
                </w:p>
              </w:tc>
              <w:tc>
                <w:tcPr>
                  <w:tcW w:w="1182"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2021 - 2022</w:t>
                  </w:r>
                </w:p>
              </w:tc>
              <w:tc>
                <w:tcPr>
                  <w:tcW w:w="1806"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0.2694</w:t>
                  </w:r>
                </w:p>
              </w:tc>
              <w:tc>
                <w:tcPr>
                  <w:tcW w:w="1663"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0.0568 - 0.415</w:t>
                  </w:r>
                </w:p>
              </w:tc>
              <w:tc>
                <w:tcPr>
                  <w:tcW w:w="660"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ppm</w:t>
                  </w:r>
                </w:p>
              </w:tc>
              <w:tc>
                <w:tcPr>
                  <w:tcW w:w="768"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1.3</w:t>
                  </w:r>
                </w:p>
              </w:tc>
              <w:tc>
                <w:tcPr>
                  <w:tcW w:w="781"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0</w:t>
                  </w:r>
                </w:p>
              </w:tc>
              <w:tc>
                <w:tcPr>
                  <w:tcW w:w="4355"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Corrosion of household plumbing systems; Erosion of natural deposits; Leaching from wood preservatives</w:t>
                  </w:r>
                </w:p>
              </w:tc>
            </w:tr>
            <w:tr>
              <w:trPr>
                <w:trHeight w:val="210" w:hRule="atLeast"/>
              </w:trPr>
              <w:tc>
                <w:tcPr>
                  <w:tcW w:w="1509" w:type="dxa"/>
                  <w:tcBorders>
                    <w:left w:val="single" w:sz="8" w:space="0" w:color="808080"/>
                    <w:bottom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 xml:space="preserve">LEAD                                    </w:t>
                  </w:r>
                </w:p>
              </w:tc>
              <w:tc>
                <w:tcPr>
                  <w:tcW w:w="1182"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2021 - 2022</w:t>
                  </w:r>
                </w:p>
              </w:tc>
              <w:tc>
                <w:tcPr>
                  <w:tcW w:w="1806"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0</w:t>
                  </w:r>
                </w:p>
              </w:tc>
              <w:tc>
                <w:tcPr>
                  <w:tcW w:w="1663"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5.4</w:t>
                  </w:r>
                </w:p>
              </w:tc>
              <w:tc>
                <w:tcPr>
                  <w:tcW w:w="660"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ppb</w:t>
                  </w:r>
                </w:p>
              </w:tc>
              <w:tc>
                <w:tcPr>
                  <w:tcW w:w="768"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15</w:t>
                  </w:r>
                </w:p>
              </w:tc>
              <w:tc>
                <w:tcPr>
                  <w:tcW w:w="781"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0</w:t>
                  </w:r>
                </w:p>
              </w:tc>
              <w:tc>
                <w:tcPr>
                  <w:tcW w:w="4355" w:type="dxa"/>
                  <w:tcBorders>
                    <w:left w:val="single" w:sz="8" w:space="0" w:color="808080"/>
                    <w:bottom w:val="single" w:sz="8" w:space="0" w:color="808080"/>
                    <w:right w:val="single" w:sz="8" w:space="0" w:color="808080"/>
                  </w:tcBorders>
                  <w:shd w:fill="FFFFFF" w:val="clear"/>
                </w:tcPr>
                <w:p>
                  <w:pPr>
                    <w:pStyle w:val="Normal2"/>
                    <w:spacing w:lineRule="auto" w:line="240" w:before="0" w:after="0"/>
                    <w:rPr/>
                  </w:pPr>
                  <w:r>
                    <w:rPr>
                      <w:rStyle w:val="DefaultParagraphFont"/>
                      <w:rFonts w:eastAsia="Calibri" w:ascii="Calibri" w:hAnsi="Calibri"/>
                      <w:color w:val="333333"/>
                      <w:sz w:val="18"/>
                    </w:rPr>
                    <w:t>Corrosion of household plumbing systems; Erosion of natural deposits</w:t>
                  </w:r>
                </w:p>
              </w:tc>
            </w:tr>
          </w:tbl>
          <w:p>
            <w:pPr>
              <w:pStyle w:val="Normal2"/>
              <w:spacing w:lineRule="auto" w:line="240" w:before="0" w:after="0"/>
              <w:rPr/>
            </w:pPr>
            <w:r>
              <w:rPr/>
            </w:r>
          </w:p>
        </w:tc>
        <w:tc>
          <w:tcPr>
            <w:tcW w:w="40" w:type="dxa"/>
            <w:tcBorders/>
          </w:tcPr>
          <w:p>
            <w:pPr>
              <w:pStyle w:val="EmptyCellLayoutStyle"/>
              <w:spacing w:lineRule="auto" w:line="240" w:before="0" w:after="0"/>
              <w:rPr/>
            </w:pPr>
            <w:r>
              <w:rPr/>
            </w:r>
          </w:p>
        </w:tc>
      </w:tr>
    </w:tbl>
    <w:p>
      <w:pPr>
        <w:pStyle w:val="Normal"/>
        <w:bidi w:val="0"/>
        <w:ind w:hanging="0" w:left="300" w:right="0"/>
        <w:jc w:val="left"/>
        <w:rPr>
          <w:rFonts w:ascii="SansSerif;Arial" w:hAnsi="SansSerif;Arial" w:eastAsia="SansSerif;Arial" w:cs="SansSerif;Arial"/>
          <w:b w:val="false"/>
          <w:i w:val="false"/>
          <w:i w:val="false"/>
          <w:strike w:val="false"/>
          <w:dstrike w:val="false"/>
          <w:color w:val="000000"/>
          <w:sz w:val="16"/>
          <w:u w:val="none"/>
          <w:lang w:val="en-US"/>
        </w:rPr>
      </w:pPr>
      <w:r>
        <w:rPr/>
      </w:r>
    </w:p>
    <w:p>
      <w:pPr>
        <w:pStyle w:val="Normal"/>
        <w:bidi w:val="0"/>
        <w:ind w:hanging="0" w:left="300" w:right="0"/>
        <w:jc w:val="left"/>
        <w:rPr>
          <w:rFonts w:ascii="SansSerif;Arial" w:hAnsi="SansSerif;Arial" w:eastAsia="SansSerif;Arial" w:cs="SansSerif;Arial"/>
          <w:b w:val="false"/>
          <w:i w:val="false"/>
          <w:i w:val="false"/>
          <w:strike w:val="false"/>
          <w:dstrike w:val="false"/>
          <w:color w:val="000000"/>
          <w:sz w:val="16"/>
          <w:u w:val="none"/>
          <w:lang w:val="en-US"/>
        </w:rPr>
      </w:pPr>
      <w:r>
        <w:rPr>
          <w:rFonts w:eastAsia="SansSerif;Arial" w:cs="SansSerif;Arial" w:ascii="Arial Narrow" w:hAnsi="Arial Narrow"/>
          <w:b w:val="false"/>
          <w:i w:val="false"/>
          <w:strike w:val="false"/>
          <w:dstrike w:val="false"/>
          <w:color w:val="000000"/>
          <w:sz w:val="16"/>
          <w:szCs w:val="20"/>
          <w:u w:val="none"/>
          <w:lang w:val="en-US"/>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3">
        <w:r>
          <w:rPr>
            <w:rStyle w:val="Hyperlink"/>
            <w:rFonts w:eastAsia="SansSerif;Arial" w:cs="SansSerif;Arial" w:ascii="Arial Narrow" w:hAnsi="Arial Narrow"/>
            <w:b w:val="false"/>
            <w:i w:val="false"/>
            <w:strike w:val="false"/>
            <w:dstrike w:val="false"/>
            <w:color w:val="000000"/>
            <w:sz w:val="16"/>
            <w:szCs w:val="20"/>
            <w:u w:val="none"/>
            <w:lang w:val="en-US"/>
          </w:rPr>
          <w:t>http://www.epa.gov/safewater/lead</w:t>
        </w:r>
      </w:hyperlink>
      <w:r>
        <w:rPr>
          <w:rFonts w:eastAsia="SansSerif;Arial" w:cs="SansSerif;Arial" w:ascii="Arial Narrow" w:hAnsi="Arial Narrow"/>
          <w:b w:val="false"/>
          <w:i w:val="false"/>
          <w:strike w:val="false"/>
          <w:dstrike w:val="false"/>
          <w:color w:val="000000"/>
          <w:sz w:val="16"/>
          <w:szCs w:val="20"/>
          <w:u w:val="none"/>
          <w:lang w:val="en-US"/>
        </w:rPr>
        <w:t>.</w:t>
      </w:r>
    </w:p>
    <w:p>
      <w:pPr>
        <w:pStyle w:val="Normal"/>
        <w:bidi w:val="0"/>
        <w:ind w:hanging="0" w:left="300" w:right="0"/>
        <w:jc w:val="left"/>
        <w:rPr>
          <w:rFonts w:ascii="SansSerif;Arial" w:hAnsi="SansSerif;Arial" w:eastAsia="SansSerif;Arial" w:cs="SansSerif;Arial"/>
          <w:b w:val="false"/>
          <w:i w:val="false"/>
          <w:i w:val="false"/>
          <w:strike w:val="false"/>
          <w:dstrike w:val="false"/>
          <w:color w:val="000000"/>
          <w:sz w:val="16"/>
          <w:u w:val="none"/>
          <w:lang w:val="en-US"/>
        </w:rPr>
      </w:pPr>
      <w:r>
        <w:rPr>
          <w:rFonts w:eastAsia="SansSerif;Arial" w:cs="SansSerif;Arial" w:ascii="SansSerif;Arial" w:hAnsi="SansSerif;Arial"/>
          <w:b w:val="false"/>
          <w:i w:val="false"/>
          <w:strike w:val="false"/>
          <w:dstrike w:val="false"/>
          <w:color w:val="000000"/>
          <w:sz w:val="16"/>
          <w:u w:val="none"/>
          <w:lang w:val="en-US"/>
        </w:rPr>
      </w:r>
    </w:p>
    <w:p>
      <w:pPr>
        <w:pStyle w:val="Normal"/>
        <w:jc w:val="both"/>
        <w:rPr>
          <w:rFonts w:ascii="Arial Narrow" w:hAnsi="Arial Narrow"/>
          <w:szCs w:val="20"/>
        </w:rPr>
      </w:pPr>
      <w:r>
        <w:rPr>
          <w:rFonts w:ascii="Arial Narrow" w:hAnsi="Arial Narrow"/>
          <w:szCs w:val="20"/>
        </w:rPr>
      </w:r>
    </w:p>
    <w:p>
      <w:pPr>
        <w:pStyle w:val="Normal"/>
        <w:jc w:val="both"/>
        <w:rPr>
          <w:rFonts w:ascii="Arial Narrow" w:hAnsi="Arial Narrow"/>
          <w:szCs w:val="20"/>
        </w:rPr>
      </w:pPr>
      <w:r>
        <w:rPr>
          <w:rFonts w:cs="Times New Roman" w:ascii="Arial Narrow" w:hAnsi="Arial Narrow"/>
          <w:szCs w:val="20"/>
        </w:rPr>
        <w:tab/>
        <w:t>Regulated Contaminants</w:t>
      </w:r>
    </w:p>
    <w:tbl>
      <w:tblPr>
        <w:tblW w:w="14760" w:type="dxa"/>
        <w:jc w:val="left"/>
        <w:tblInd w:w="456" w:type="dxa"/>
        <w:tblLayout w:type="fixed"/>
        <w:tblCellMar>
          <w:top w:w="39" w:type="dxa"/>
          <w:left w:w="99" w:type="dxa"/>
          <w:bottom w:w="39" w:type="dxa"/>
          <w:right w:w="39" w:type="dxa"/>
        </w:tblCellMar>
      </w:tblPr>
      <w:tblGrid>
        <w:gridCol w:w="1754"/>
        <w:gridCol w:w="46"/>
        <w:gridCol w:w="1244"/>
        <w:gridCol w:w="45"/>
        <w:gridCol w:w="825"/>
        <w:gridCol w:w="75"/>
        <w:gridCol w:w="945"/>
        <w:gridCol w:w="60"/>
        <w:gridCol w:w="585"/>
        <w:gridCol w:w="75"/>
        <w:gridCol w:w="511"/>
        <w:gridCol w:w="59"/>
        <w:gridCol w:w="540"/>
        <w:gridCol w:w="62"/>
        <w:gridCol w:w="7932"/>
      </w:tblGrid>
      <w:tr>
        <w:trPr>
          <w:trHeight w:val="705" w:hRule="atLeast"/>
        </w:trPr>
        <w:tc>
          <w:tcPr>
            <w:tcW w:w="1800" w:type="dxa"/>
            <w:gridSpan w:val="2"/>
            <w:tcBorders>
              <w:top w:val="single" w:sz="8" w:space="0" w:color="808080"/>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99"/>
                <w:sz w:val="18"/>
              </w:rPr>
              <w:t>Radiological Contaminants</w:t>
            </w:r>
          </w:p>
        </w:tc>
        <w:tc>
          <w:tcPr>
            <w:tcW w:w="1289"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Collection Date</w:t>
            </w:r>
          </w:p>
        </w:tc>
        <w:tc>
          <w:tcPr>
            <w:tcW w:w="900"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Highest Value</w:t>
            </w:r>
          </w:p>
        </w:tc>
        <w:tc>
          <w:tcPr>
            <w:tcW w:w="1005"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Range</w:t>
            </w:r>
          </w:p>
        </w:tc>
        <w:tc>
          <w:tcPr>
            <w:tcW w:w="660"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Unit</w:t>
            </w:r>
          </w:p>
        </w:tc>
        <w:tc>
          <w:tcPr>
            <w:tcW w:w="570"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MCL</w:t>
            </w:r>
          </w:p>
        </w:tc>
        <w:tc>
          <w:tcPr>
            <w:tcW w:w="602"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MCLG</w:t>
            </w:r>
          </w:p>
        </w:tc>
        <w:tc>
          <w:tcPr>
            <w:tcW w:w="7932"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Typical Source</w:t>
            </w:r>
          </w:p>
        </w:tc>
      </w:tr>
      <w:tr>
        <w:trPr>
          <w:trHeight w:val="210" w:hRule="atLeast"/>
        </w:trPr>
        <w:tc>
          <w:tcPr>
            <w:tcW w:w="1800" w:type="dxa"/>
            <w:gridSpan w:val="2"/>
            <w:tcBorders>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33"/>
                <w:sz w:val="18"/>
              </w:rPr>
              <w:t>GROSS ALPHA, EXCL. RADON &amp; U</w:t>
            </w:r>
          </w:p>
        </w:tc>
        <w:tc>
          <w:tcPr>
            <w:tcW w:w="1289"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8/1/2018</w:t>
            </w:r>
          </w:p>
        </w:tc>
        <w:tc>
          <w:tcPr>
            <w:tcW w:w="90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4.3</w:t>
            </w:r>
          </w:p>
        </w:tc>
        <w:tc>
          <w:tcPr>
            <w:tcW w:w="1005"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4.3</w:t>
            </w:r>
          </w:p>
        </w:tc>
        <w:tc>
          <w:tcPr>
            <w:tcW w:w="66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pCi/L</w:t>
            </w:r>
          </w:p>
        </w:tc>
        <w:tc>
          <w:tcPr>
            <w:tcW w:w="57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15</w:t>
            </w:r>
          </w:p>
        </w:tc>
        <w:tc>
          <w:tcPr>
            <w:tcW w:w="602"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w:t>
            </w:r>
          </w:p>
        </w:tc>
        <w:tc>
          <w:tcPr>
            <w:tcW w:w="7932"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Erosion of natural deposits</w:t>
            </w:r>
          </w:p>
        </w:tc>
      </w:tr>
      <w:tr>
        <w:trPr>
          <w:trHeight w:val="210" w:hRule="atLeast"/>
        </w:trPr>
        <w:tc>
          <w:tcPr>
            <w:tcW w:w="1800" w:type="dxa"/>
            <w:gridSpan w:val="2"/>
            <w:tcBorders>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33"/>
                <w:sz w:val="18"/>
              </w:rPr>
              <w:t>RADIUM-228</w:t>
            </w:r>
          </w:p>
        </w:tc>
        <w:tc>
          <w:tcPr>
            <w:tcW w:w="1289"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8/1/2018</w:t>
            </w:r>
          </w:p>
        </w:tc>
        <w:tc>
          <w:tcPr>
            <w:tcW w:w="90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0.43</w:t>
            </w:r>
          </w:p>
        </w:tc>
        <w:tc>
          <w:tcPr>
            <w:tcW w:w="1005"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0.43</w:t>
            </w:r>
          </w:p>
        </w:tc>
        <w:tc>
          <w:tcPr>
            <w:tcW w:w="66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PCI/L</w:t>
            </w:r>
          </w:p>
        </w:tc>
        <w:tc>
          <w:tcPr>
            <w:tcW w:w="57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5</w:t>
            </w:r>
          </w:p>
        </w:tc>
        <w:tc>
          <w:tcPr>
            <w:tcW w:w="602"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w:t>
            </w:r>
          </w:p>
        </w:tc>
        <w:tc>
          <w:tcPr>
            <w:tcW w:w="7932"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
          </w:p>
        </w:tc>
      </w:tr>
      <w:tr>
        <w:trPr>
          <w:trHeight w:val="705" w:hRule="atLeast"/>
        </w:trPr>
        <w:tc>
          <w:tcPr>
            <w:tcW w:w="1754" w:type="dxa"/>
            <w:tcBorders>
              <w:top w:val="single" w:sz="8" w:space="0" w:color="808080"/>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99"/>
                <w:sz w:val="18"/>
              </w:rPr>
              <w:t>Regulated Contaminants</w:t>
            </w:r>
          </w:p>
        </w:tc>
        <w:tc>
          <w:tcPr>
            <w:tcW w:w="1290"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Collection Date</w:t>
            </w:r>
          </w:p>
        </w:tc>
        <w:tc>
          <w:tcPr>
            <w:tcW w:w="870"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Highest Value</w:t>
            </w:r>
          </w:p>
        </w:tc>
        <w:tc>
          <w:tcPr>
            <w:tcW w:w="1020"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Range</w:t>
            </w:r>
          </w:p>
        </w:tc>
        <w:tc>
          <w:tcPr>
            <w:tcW w:w="645"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Unit</w:t>
            </w:r>
          </w:p>
        </w:tc>
        <w:tc>
          <w:tcPr>
            <w:tcW w:w="586"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MCL</w:t>
            </w:r>
          </w:p>
        </w:tc>
        <w:tc>
          <w:tcPr>
            <w:tcW w:w="599"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MCLG</w:t>
            </w:r>
          </w:p>
        </w:tc>
        <w:tc>
          <w:tcPr>
            <w:tcW w:w="7994"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Typical Source</w:t>
            </w:r>
          </w:p>
        </w:tc>
      </w:tr>
      <w:tr>
        <w:trPr>
          <w:trHeight w:val="210" w:hRule="atLeast"/>
        </w:trPr>
        <w:tc>
          <w:tcPr>
            <w:tcW w:w="1754" w:type="dxa"/>
            <w:tcBorders>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33"/>
                <w:sz w:val="18"/>
              </w:rPr>
              <w:t>BARIUM</w:t>
            </w:r>
          </w:p>
        </w:tc>
        <w:tc>
          <w:tcPr>
            <w:tcW w:w="129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3/15/2021</w:t>
            </w:r>
          </w:p>
        </w:tc>
        <w:tc>
          <w:tcPr>
            <w:tcW w:w="87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0.01</w:t>
            </w:r>
          </w:p>
        </w:tc>
        <w:tc>
          <w:tcPr>
            <w:tcW w:w="102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0.01</w:t>
            </w:r>
          </w:p>
        </w:tc>
        <w:tc>
          <w:tcPr>
            <w:tcW w:w="645"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ppm</w:t>
            </w:r>
          </w:p>
        </w:tc>
        <w:tc>
          <w:tcPr>
            <w:tcW w:w="586"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2</w:t>
            </w:r>
          </w:p>
        </w:tc>
        <w:tc>
          <w:tcPr>
            <w:tcW w:w="599"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2</w:t>
            </w:r>
          </w:p>
        </w:tc>
        <w:tc>
          <w:tcPr>
            <w:tcW w:w="7994"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Discharge of drilling wastes; Discharge from metal refineries; Erosion of natural deposits</w:t>
            </w:r>
          </w:p>
        </w:tc>
      </w:tr>
      <w:tr>
        <w:trPr>
          <w:trHeight w:val="210" w:hRule="atLeast"/>
        </w:trPr>
        <w:tc>
          <w:tcPr>
            <w:tcW w:w="1754" w:type="dxa"/>
            <w:tcBorders>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33"/>
                <w:sz w:val="18"/>
              </w:rPr>
              <w:t>DIBROMOCHLOROMETHANE</w:t>
            </w:r>
          </w:p>
        </w:tc>
        <w:tc>
          <w:tcPr>
            <w:tcW w:w="129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9/25/2023</w:t>
            </w:r>
          </w:p>
        </w:tc>
        <w:tc>
          <w:tcPr>
            <w:tcW w:w="87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0.0057</w:t>
            </w:r>
          </w:p>
        </w:tc>
        <w:tc>
          <w:tcPr>
            <w:tcW w:w="102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0.0057</w:t>
            </w:r>
          </w:p>
        </w:tc>
        <w:tc>
          <w:tcPr>
            <w:tcW w:w="645"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MG/L</w:t>
            </w:r>
          </w:p>
        </w:tc>
        <w:tc>
          <w:tcPr>
            <w:tcW w:w="586"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0.1</w:t>
            </w:r>
          </w:p>
        </w:tc>
        <w:tc>
          <w:tcPr>
            <w:tcW w:w="599"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w:t>
            </w:r>
          </w:p>
        </w:tc>
        <w:tc>
          <w:tcPr>
            <w:tcW w:w="7994"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
          </w:p>
        </w:tc>
      </w:tr>
      <w:tr>
        <w:trPr>
          <w:trHeight w:val="614" w:hRule="atLeast"/>
        </w:trPr>
        <w:tc>
          <w:tcPr>
            <w:tcW w:w="1754" w:type="dxa"/>
            <w:tcBorders>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33"/>
                <w:sz w:val="18"/>
              </w:rPr>
              <w:t>FLUORIDE</w:t>
            </w:r>
          </w:p>
        </w:tc>
        <w:tc>
          <w:tcPr>
            <w:tcW w:w="129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3/15/2021</w:t>
            </w:r>
          </w:p>
        </w:tc>
        <w:tc>
          <w:tcPr>
            <w:tcW w:w="87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0.54</w:t>
            </w:r>
          </w:p>
        </w:tc>
        <w:tc>
          <w:tcPr>
            <w:tcW w:w="102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0.54</w:t>
            </w:r>
          </w:p>
        </w:tc>
        <w:tc>
          <w:tcPr>
            <w:tcW w:w="645"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ppm</w:t>
            </w:r>
          </w:p>
        </w:tc>
        <w:tc>
          <w:tcPr>
            <w:tcW w:w="586"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4</w:t>
            </w:r>
          </w:p>
        </w:tc>
        <w:tc>
          <w:tcPr>
            <w:tcW w:w="599"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4</w:t>
            </w:r>
          </w:p>
        </w:tc>
        <w:tc>
          <w:tcPr>
            <w:tcW w:w="7994"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Erosion of natural deposits;  Water additive which promotes strong teeth; Discharge from fertilizer and aluminum factories</w:t>
            </w:r>
          </w:p>
        </w:tc>
      </w:tr>
    </w:tbl>
    <w:p>
      <w:pPr>
        <w:pStyle w:val="Normal"/>
        <w:rPr>
          <w:rFonts w:ascii="Arial Narrow" w:hAnsi="Arial Narrow" w:cs="Times New Roman"/>
          <w:szCs w:val="20"/>
        </w:rPr>
      </w:pPr>
      <w:r>
        <w:rPr>
          <w:rFonts w:cs="Times New Roman" w:ascii="Arial Narrow" w:hAnsi="Arial Narrow"/>
          <w:szCs w:val="20"/>
        </w:rPr>
      </w:r>
    </w:p>
    <w:tbl>
      <w:tblPr>
        <w:tblW w:w="14760" w:type="dxa"/>
        <w:jc w:val="left"/>
        <w:tblInd w:w="501" w:type="dxa"/>
        <w:tblLayout w:type="fixed"/>
        <w:tblCellMar>
          <w:top w:w="39" w:type="dxa"/>
          <w:left w:w="99" w:type="dxa"/>
          <w:bottom w:w="39" w:type="dxa"/>
          <w:right w:w="39" w:type="dxa"/>
        </w:tblCellMar>
      </w:tblPr>
      <w:tblGrid>
        <w:gridCol w:w="1710"/>
        <w:gridCol w:w="449"/>
        <w:gridCol w:w="841"/>
        <w:gridCol w:w="520"/>
        <w:gridCol w:w="574"/>
        <w:gridCol w:w="795"/>
        <w:gridCol w:w="91"/>
        <w:gridCol w:w="764"/>
        <w:gridCol w:w="527"/>
        <w:gridCol w:w="168"/>
        <w:gridCol w:w="295"/>
        <w:gridCol w:w="601"/>
        <w:gridCol w:w="384"/>
        <w:gridCol w:w="1300"/>
        <w:gridCol w:w="1101"/>
        <w:gridCol w:w="1066"/>
        <w:gridCol w:w="3559"/>
        <w:gridCol w:w="13"/>
      </w:tblGrid>
      <w:tr>
        <w:trPr>
          <w:trHeight w:val="23" w:hRule="exact"/>
        </w:trPr>
        <w:tc>
          <w:tcPr>
            <w:tcW w:w="2159" w:type="dxa"/>
            <w:gridSpan w:val="2"/>
            <w:tcBorders>
              <w:top w:val="single" w:sz="4" w:space="0" w:color="000000"/>
              <w:bottom w:val="single" w:sz="4" w:space="0" w:color="000000"/>
            </w:tcBorders>
          </w:tcPr>
          <w:p>
            <w:pPr>
              <w:pStyle w:val="Normal"/>
              <w:bidi w:val="0"/>
              <w:snapToGrid w:val="false"/>
              <w:rPr>
                <w:sz w:val="2"/>
              </w:rPr>
            </w:pPr>
            <w:r>
              <w:rPr>
                <w:sz w:val="2"/>
              </w:rPr>
            </w:r>
          </w:p>
        </w:tc>
        <w:tc>
          <w:tcPr>
            <w:tcW w:w="1361" w:type="dxa"/>
            <w:gridSpan w:val="2"/>
            <w:tcBorders>
              <w:top w:val="single" w:sz="4" w:space="0" w:color="000000"/>
              <w:bottom w:val="single" w:sz="4" w:space="0" w:color="000000"/>
            </w:tcBorders>
          </w:tcPr>
          <w:p>
            <w:pPr>
              <w:pStyle w:val="Normal"/>
              <w:bidi w:val="0"/>
              <w:snapToGrid w:val="false"/>
              <w:rPr>
                <w:sz w:val="2"/>
              </w:rPr>
            </w:pPr>
            <w:r>
              <w:rPr>
                <w:sz w:val="2"/>
              </w:rPr>
            </w:r>
          </w:p>
        </w:tc>
        <w:tc>
          <w:tcPr>
            <w:tcW w:w="1460" w:type="dxa"/>
            <w:gridSpan w:val="3"/>
            <w:tcBorders>
              <w:top w:val="single" w:sz="4" w:space="0" w:color="000000"/>
              <w:bottom w:val="single" w:sz="4" w:space="0" w:color="000000"/>
            </w:tcBorders>
          </w:tcPr>
          <w:p>
            <w:pPr>
              <w:pStyle w:val="Normal"/>
              <w:bidi w:val="0"/>
              <w:snapToGrid w:val="false"/>
              <w:rPr>
                <w:sz w:val="2"/>
              </w:rPr>
            </w:pPr>
            <w:r>
              <w:rPr>
                <w:sz w:val="2"/>
              </w:rPr>
            </w:r>
          </w:p>
        </w:tc>
        <w:tc>
          <w:tcPr>
            <w:tcW w:w="1459" w:type="dxa"/>
            <w:gridSpan w:val="3"/>
            <w:tcBorders>
              <w:top w:val="single" w:sz="4" w:space="0" w:color="000000"/>
              <w:bottom w:val="single" w:sz="4" w:space="0" w:color="000000"/>
            </w:tcBorders>
          </w:tcPr>
          <w:p>
            <w:pPr>
              <w:pStyle w:val="Normal"/>
              <w:bidi w:val="0"/>
              <w:snapToGrid w:val="false"/>
              <w:rPr>
                <w:sz w:val="2"/>
              </w:rPr>
            </w:pPr>
            <w:r>
              <w:rPr>
                <w:sz w:val="2"/>
              </w:rPr>
            </w:r>
          </w:p>
        </w:tc>
        <w:tc>
          <w:tcPr>
            <w:tcW w:w="1280" w:type="dxa"/>
            <w:gridSpan w:val="3"/>
            <w:tcBorders>
              <w:top w:val="single" w:sz="4" w:space="0" w:color="000000"/>
              <w:bottom w:val="single" w:sz="4" w:space="0" w:color="000000"/>
            </w:tcBorders>
          </w:tcPr>
          <w:p>
            <w:pPr>
              <w:pStyle w:val="Normal"/>
              <w:bidi w:val="0"/>
              <w:snapToGrid w:val="false"/>
              <w:rPr>
                <w:sz w:val="2"/>
              </w:rPr>
            </w:pPr>
            <w:r>
              <w:rPr>
                <w:sz w:val="2"/>
              </w:rPr>
            </w:r>
          </w:p>
        </w:tc>
        <w:tc>
          <w:tcPr>
            <w:tcW w:w="1300" w:type="dxa"/>
            <w:tcBorders>
              <w:top w:val="single" w:sz="4" w:space="0" w:color="000000"/>
              <w:bottom w:val="single" w:sz="4" w:space="0" w:color="000000"/>
            </w:tcBorders>
          </w:tcPr>
          <w:p>
            <w:pPr>
              <w:pStyle w:val="Normal"/>
              <w:bidi w:val="0"/>
              <w:snapToGrid w:val="false"/>
              <w:rPr>
                <w:sz w:val="2"/>
              </w:rPr>
            </w:pPr>
            <w:r>
              <w:rPr>
                <w:sz w:val="2"/>
              </w:rPr>
            </w:r>
          </w:p>
        </w:tc>
        <w:tc>
          <w:tcPr>
            <w:tcW w:w="1101" w:type="dxa"/>
            <w:tcBorders>
              <w:top w:val="single" w:sz="4" w:space="0" w:color="000000"/>
              <w:bottom w:val="single" w:sz="4" w:space="0" w:color="000000"/>
            </w:tcBorders>
          </w:tcPr>
          <w:p>
            <w:pPr>
              <w:pStyle w:val="Normal"/>
              <w:bidi w:val="0"/>
              <w:snapToGrid w:val="false"/>
              <w:rPr>
                <w:sz w:val="2"/>
              </w:rPr>
            </w:pPr>
            <w:r>
              <w:rPr>
                <w:sz w:val="2"/>
              </w:rPr>
            </w:r>
          </w:p>
        </w:tc>
        <w:tc>
          <w:tcPr>
            <w:tcW w:w="1066" w:type="dxa"/>
            <w:tcBorders>
              <w:top w:val="single" w:sz="4" w:space="0" w:color="000000"/>
              <w:bottom w:val="single" w:sz="4" w:space="0" w:color="000000"/>
            </w:tcBorders>
          </w:tcPr>
          <w:p>
            <w:pPr>
              <w:pStyle w:val="Normal"/>
              <w:bidi w:val="0"/>
              <w:snapToGrid w:val="false"/>
              <w:rPr>
                <w:sz w:val="2"/>
              </w:rPr>
            </w:pPr>
            <w:r>
              <w:rPr>
                <w:sz w:val="2"/>
              </w:rPr>
            </w:r>
          </w:p>
        </w:tc>
        <w:tc>
          <w:tcPr>
            <w:tcW w:w="3559" w:type="dxa"/>
            <w:tcBorders/>
          </w:tcPr>
          <w:p>
            <w:pPr>
              <w:pStyle w:val="Normal"/>
              <w:bidi w:val="0"/>
              <w:snapToGrid w:val="false"/>
              <w:rPr>
                <w:sz w:val="2"/>
              </w:rPr>
            </w:pPr>
            <w:r>
              <w:rPr>
                <w:sz w:val="2"/>
              </w:rPr>
            </w:r>
          </w:p>
        </w:tc>
        <w:tc>
          <w:tcPr>
            <w:tcW w:w="13" w:type="dxa"/>
            <w:tcBorders/>
          </w:tcPr>
          <w:p>
            <w:pPr>
              <w:pStyle w:val="Normal"/>
              <w:widowControl w:val="false"/>
              <w:rPr/>
            </w:pPr>
            <w:r>
              <w:rPr/>
            </w:r>
          </w:p>
        </w:tc>
      </w:tr>
      <w:tr>
        <w:trPr>
          <w:trHeight w:val="464" w:hRule="atLeast"/>
        </w:trPr>
        <w:tc>
          <w:tcPr>
            <w:tcW w:w="1710" w:type="dxa"/>
            <w:tcBorders>
              <w:top w:val="single" w:sz="8" w:space="0" w:color="808080"/>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99"/>
                <w:sz w:val="18"/>
              </w:rPr>
              <w:t>Disinfection Byproducts</w:t>
            </w:r>
          </w:p>
        </w:tc>
        <w:tc>
          <w:tcPr>
            <w:tcW w:w="1290"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jc w:val="center"/>
              <w:rPr/>
            </w:pPr>
            <w:r>
              <w:rPr>
                <w:rStyle w:val="DefaultParagraphFont"/>
                <w:rFonts w:eastAsia="Calibri"/>
                <w:color w:val="333399"/>
                <w:sz w:val="18"/>
              </w:rPr>
              <w:t>Sample Point</w:t>
            </w:r>
          </w:p>
        </w:tc>
        <w:tc>
          <w:tcPr>
            <w:tcW w:w="1094"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Period</w:t>
            </w:r>
          </w:p>
        </w:tc>
        <w:tc>
          <w:tcPr>
            <w:tcW w:w="795"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Highest LRAA</w:t>
            </w:r>
          </w:p>
        </w:tc>
        <w:tc>
          <w:tcPr>
            <w:tcW w:w="855"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Range</w:t>
            </w:r>
          </w:p>
        </w:tc>
        <w:tc>
          <w:tcPr>
            <w:tcW w:w="527"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Unit</w:t>
            </w:r>
          </w:p>
        </w:tc>
        <w:tc>
          <w:tcPr>
            <w:tcW w:w="463" w:type="dxa"/>
            <w:gridSpan w:val="2"/>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MCL</w:t>
            </w:r>
          </w:p>
        </w:tc>
        <w:tc>
          <w:tcPr>
            <w:tcW w:w="601"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MCLG</w:t>
            </w:r>
          </w:p>
        </w:tc>
        <w:tc>
          <w:tcPr>
            <w:tcW w:w="7423" w:type="dxa"/>
            <w:gridSpan w:val="6"/>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Typical Source</w:t>
            </w:r>
          </w:p>
        </w:tc>
      </w:tr>
      <w:tr>
        <w:trPr>
          <w:trHeight w:val="210" w:hRule="atLeast"/>
        </w:trPr>
        <w:tc>
          <w:tcPr>
            <w:tcW w:w="1710" w:type="dxa"/>
            <w:tcBorders>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33"/>
                <w:sz w:val="18"/>
              </w:rPr>
              <w:t>TOTAL HALOACETIC ACIDS (HAA5)</w:t>
            </w:r>
          </w:p>
        </w:tc>
        <w:tc>
          <w:tcPr>
            <w:tcW w:w="129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jc w:val="center"/>
              <w:rPr/>
            </w:pPr>
            <w:r>
              <w:rPr>
                <w:rStyle w:val="DefaultParagraphFont"/>
                <w:rFonts w:eastAsia="Calibri"/>
                <w:color w:val="333333"/>
                <w:sz w:val="18"/>
              </w:rPr>
              <w:t>12747 WHEELER</w:t>
            </w:r>
          </w:p>
        </w:tc>
        <w:tc>
          <w:tcPr>
            <w:tcW w:w="1094"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2022 - 2023</w:t>
            </w:r>
          </w:p>
        </w:tc>
        <w:tc>
          <w:tcPr>
            <w:tcW w:w="795"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9</w:t>
            </w:r>
          </w:p>
        </w:tc>
        <w:tc>
          <w:tcPr>
            <w:tcW w:w="855"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8.7 - 8.7</w:t>
            </w:r>
          </w:p>
        </w:tc>
        <w:tc>
          <w:tcPr>
            <w:tcW w:w="527"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ppb</w:t>
            </w:r>
          </w:p>
        </w:tc>
        <w:tc>
          <w:tcPr>
            <w:tcW w:w="463"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60</w:t>
            </w:r>
          </w:p>
        </w:tc>
        <w:tc>
          <w:tcPr>
            <w:tcW w:w="601"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w:t>
            </w:r>
          </w:p>
        </w:tc>
        <w:tc>
          <w:tcPr>
            <w:tcW w:w="7423" w:type="dxa"/>
            <w:gridSpan w:val="6"/>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By-product of drinking water disinfection</w:t>
            </w:r>
          </w:p>
        </w:tc>
      </w:tr>
      <w:tr>
        <w:trPr>
          <w:trHeight w:val="210" w:hRule="atLeast"/>
        </w:trPr>
        <w:tc>
          <w:tcPr>
            <w:tcW w:w="1710" w:type="dxa"/>
            <w:tcBorders>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33"/>
                <w:sz w:val="18"/>
              </w:rPr>
              <w:t>TTHM</w:t>
            </w:r>
          </w:p>
        </w:tc>
        <w:tc>
          <w:tcPr>
            <w:tcW w:w="1290"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jc w:val="center"/>
              <w:rPr/>
            </w:pPr>
            <w:r>
              <w:rPr>
                <w:rStyle w:val="DefaultParagraphFont"/>
                <w:rFonts w:eastAsia="Calibri"/>
                <w:color w:val="333333"/>
                <w:sz w:val="18"/>
              </w:rPr>
              <w:t>12747 WHEELER</w:t>
            </w:r>
          </w:p>
        </w:tc>
        <w:tc>
          <w:tcPr>
            <w:tcW w:w="1094"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2022 - 2023</w:t>
            </w:r>
          </w:p>
        </w:tc>
        <w:tc>
          <w:tcPr>
            <w:tcW w:w="795"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20</w:t>
            </w:r>
          </w:p>
        </w:tc>
        <w:tc>
          <w:tcPr>
            <w:tcW w:w="855"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19.5 - 19.5</w:t>
            </w:r>
          </w:p>
        </w:tc>
        <w:tc>
          <w:tcPr>
            <w:tcW w:w="527"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ppb</w:t>
            </w:r>
          </w:p>
        </w:tc>
        <w:tc>
          <w:tcPr>
            <w:tcW w:w="463" w:type="dxa"/>
            <w:gridSpan w:val="2"/>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80</w:t>
            </w:r>
          </w:p>
        </w:tc>
        <w:tc>
          <w:tcPr>
            <w:tcW w:w="601"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0</w:t>
            </w:r>
          </w:p>
        </w:tc>
        <w:tc>
          <w:tcPr>
            <w:tcW w:w="7423" w:type="dxa"/>
            <w:gridSpan w:val="6"/>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By-product of drinking water chlorination</w:t>
            </w:r>
          </w:p>
        </w:tc>
      </w:tr>
    </w:tbl>
    <w:p>
      <w:pPr>
        <w:pStyle w:val="Normal"/>
        <w:jc w:val="both"/>
        <w:rPr>
          <w:rFonts w:ascii="Arial Narrow" w:hAnsi="Arial Narrow"/>
          <w:szCs w:val="20"/>
        </w:rPr>
      </w:pPr>
      <w:r>
        <w:rPr>
          <w:rFonts w:ascii="Arial Narrow" w:hAnsi="Arial Narrow"/>
          <w:szCs w:val="20"/>
        </w:rPr>
      </w:r>
    </w:p>
    <w:p>
      <w:pPr>
        <w:pStyle w:val="Normal"/>
        <w:jc w:val="both"/>
        <w:rPr>
          <w:rFonts w:ascii="Arial Narrow" w:hAnsi="Arial Narrow"/>
          <w:szCs w:val="20"/>
        </w:rPr>
      </w:pPr>
      <w:r>
        <w:rPr>
          <w:rFonts w:cs="Times New Roman" w:ascii="Arial Narrow" w:hAnsi="Arial Narrow"/>
          <w:szCs w:val="20"/>
        </w:rPr>
        <w:t>Some people may be more vulnerable to contaminants in drinking water than the general population. Immuno-compromised persons, such as persons with cancer undergoing chemotherapy,</w:t>
      </w:r>
      <w:r>
        <w:rPr>
          <w:rFonts w:ascii="Arial Narrow" w:hAnsi="Arial Narrow"/>
          <w:szCs w:val="20"/>
        </w:rPr>
        <w:t xml:space="preserve"> </w:t>
      </w:r>
      <w:r>
        <w:rPr>
          <w:rFonts w:cs="Times New Roman" w:ascii="Arial Narrow" w:hAnsi="Arial Narrow"/>
          <w:szCs w:val="20"/>
        </w:rPr>
        <w:t>persons who have undergone organ transplants, people with HIV/AIDS or other immune system disorders, some elderly, and</w:t>
      </w:r>
      <w:r>
        <w:rPr>
          <w:rFonts w:ascii="Arial Narrow" w:hAnsi="Arial Narrow"/>
          <w:szCs w:val="20"/>
        </w:rPr>
        <w:t xml:space="preserve"> </w:t>
      </w:r>
      <w:r>
        <w:rPr>
          <w:rFonts w:cs="Times New Roman" w:ascii="Arial Narrow" w:hAnsi="Arial Narrow"/>
          <w:szCs w:val="20"/>
        </w:rPr>
        <w:t>infants can be particularly at risk from infections. These people should seek advice about drinking water from their health care providers. U.S. Environmental Protection Agency and Centers for Disease Control guidelines on appropriate means to lessen the risk of infection by Cryptosporidium and other microbial contaminants are available from the Safe Drinking Water Hotline at (800)</w:t>
      </w:r>
      <w:r>
        <w:rPr>
          <w:rFonts w:ascii="Arial Narrow" w:hAnsi="Arial Narrow"/>
          <w:szCs w:val="20"/>
        </w:rPr>
        <w:t xml:space="preserve"> </w:t>
      </w:r>
      <w:r>
        <w:rPr>
          <w:rFonts w:cs="Times New Roman" w:ascii="Arial Narrow" w:hAnsi="Arial Narrow"/>
          <w:szCs w:val="20"/>
        </w:rPr>
        <w:t>426-4791.</w:t>
      </w:r>
    </w:p>
    <w:p>
      <w:pPr>
        <w:pStyle w:val="Normal"/>
        <w:rPr>
          <w:rFonts w:ascii="Arial Narrow" w:hAnsi="Arial Narrow" w:cs="Arial"/>
          <w:sz w:val="20"/>
          <w:szCs w:val="20"/>
        </w:rPr>
      </w:pPr>
      <w:r>
        <w:rPr>
          <w:rFonts w:cs="Arial" w:ascii="Arial Narrow" w:hAnsi="Arial Narrow"/>
          <w:sz w:val="20"/>
          <w:szCs w:val="20"/>
        </w:rPr>
        <w:t>Definitions: The following tables contain scientific terms and measures, some of which may require explanation.</w:t>
      </w:r>
    </w:p>
    <w:tbl>
      <w:tblPr>
        <w:tblW w:w="14760" w:type="dxa"/>
        <w:jc w:val="left"/>
        <w:tblInd w:w="516" w:type="dxa"/>
        <w:tblLayout w:type="fixed"/>
        <w:tblCellMar>
          <w:top w:w="39" w:type="dxa"/>
          <w:left w:w="99" w:type="dxa"/>
          <w:bottom w:w="39" w:type="dxa"/>
          <w:right w:w="39" w:type="dxa"/>
        </w:tblCellMar>
      </w:tblPr>
      <w:tblGrid>
        <w:gridCol w:w="1229"/>
        <w:gridCol w:w="2641"/>
        <w:gridCol w:w="4590"/>
        <w:gridCol w:w="6299"/>
      </w:tblGrid>
      <w:tr>
        <w:trPr>
          <w:trHeight w:val="509" w:hRule="atLeast"/>
        </w:trPr>
        <w:tc>
          <w:tcPr>
            <w:tcW w:w="8460" w:type="dxa"/>
            <w:gridSpan w:val="3"/>
            <w:tcBorders/>
            <w:shd w:fill="FFFFFF" w:val="clear"/>
          </w:tcPr>
          <w:p>
            <w:pPr>
              <w:pStyle w:val="Normal1"/>
              <w:spacing w:lineRule="auto" w:line="240" w:before="0" w:after="0"/>
              <w:rPr/>
            </w:pPr>
            <w:r>
              <w:rPr>
                <w:rStyle w:val="DefaultParagraphFont"/>
                <w:rFonts w:eastAsia="Calibri"/>
                <w:b/>
                <w:color w:val="000000"/>
                <w:sz w:val="22"/>
                <w:u w:val="single"/>
              </w:rPr>
              <w:t>Violations</w:t>
            </w:r>
          </w:p>
          <w:p>
            <w:pPr>
              <w:pStyle w:val="Normal1"/>
              <w:spacing w:lineRule="auto" w:line="240" w:before="0" w:after="0"/>
              <w:rPr/>
            </w:pPr>
            <w:r>
              <w:rPr>
                <w:rStyle w:val="DefaultParagraphFont"/>
                <w:rFonts w:eastAsia="Calibri"/>
                <w:color w:val="000000"/>
              </w:rPr>
              <w:t>During the period covered by this report we had the below noted violations.</w:t>
            </w:r>
          </w:p>
        </w:tc>
        <w:tc>
          <w:tcPr>
            <w:tcW w:w="6299" w:type="dxa"/>
            <w:tcBorders/>
            <w:shd w:fill="FFFFFF" w:val="clear"/>
          </w:tcPr>
          <w:p>
            <w:pPr>
              <w:pStyle w:val="Normal1"/>
              <w:spacing w:lineRule="auto" w:line="240" w:before="0" w:after="0"/>
              <w:rPr/>
            </w:pPr>
            <w:r>
              <w:rPr/>
            </w:r>
          </w:p>
        </w:tc>
      </w:tr>
      <w:tr>
        <w:trPr>
          <w:trHeight w:val="210" w:hRule="atLeast"/>
        </w:trPr>
        <w:tc>
          <w:tcPr>
            <w:tcW w:w="1229" w:type="dxa"/>
            <w:tcBorders>
              <w:top w:val="single" w:sz="8" w:space="0" w:color="808080"/>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99"/>
                <w:sz w:val="18"/>
              </w:rPr>
              <w:t>Disinfection Byproducts</w:t>
            </w:r>
          </w:p>
        </w:tc>
        <w:tc>
          <w:tcPr>
            <w:tcW w:w="2641"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jc w:val="center"/>
              <w:rPr/>
            </w:pPr>
            <w:r>
              <w:rPr>
                <w:rStyle w:val="DefaultParagraphFont"/>
                <w:rFonts w:eastAsia="Calibri"/>
                <w:color w:val="333399"/>
                <w:sz w:val="18"/>
              </w:rPr>
              <w:t>Sample Point</w:t>
            </w:r>
          </w:p>
        </w:tc>
        <w:tc>
          <w:tcPr>
            <w:tcW w:w="4590"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Period</w:t>
            </w:r>
          </w:p>
        </w:tc>
        <w:tc>
          <w:tcPr>
            <w:tcW w:w="6299"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Highest LRAA</w:t>
            </w:r>
          </w:p>
        </w:tc>
      </w:tr>
      <w:tr>
        <w:trPr>
          <w:trHeight w:val="210" w:hRule="atLeast"/>
        </w:trPr>
        <w:tc>
          <w:tcPr>
            <w:tcW w:w="1229" w:type="dxa"/>
            <w:tcBorders>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33"/>
                <w:sz w:val="18"/>
              </w:rPr>
              <w:t>TOTAL HALOACETIC ACIDS (HAA5)</w:t>
            </w:r>
          </w:p>
        </w:tc>
        <w:tc>
          <w:tcPr>
            <w:tcW w:w="2641" w:type="dxa"/>
            <w:tcBorders>
              <w:left w:val="single" w:sz="8" w:space="0" w:color="808080"/>
              <w:bottom w:val="single" w:sz="8" w:space="0" w:color="808080"/>
              <w:right w:val="single" w:sz="8" w:space="0" w:color="808080"/>
            </w:tcBorders>
            <w:shd w:fill="FFFFFF" w:val="clear"/>
          </w:tcPr>
          <w:p>
            <w:pPr>
              <w:pStyle w:val="Normal1"/>
              <w:spacing w:lineRule="auto" w:line="240" w:before="0" w:after="0"/>
              <w:jc w:val="center"/>
              <w:rPr/>
            </w:pPr>
            <w:r>
              <w:rPr>
                <w:rStyle w:val="DefaultParagraphFont"/>
                <w:rFonts w:eastAsia="Calibri"/>
                <w:color w:val="333333"/>
                <w:sz w:val="18"/>
              </w:rPr>
              <w:t>12747 WHEELER</w:t>
            </w:r>
          </w:p>
        </w:tc>
        <w:tc>
          <w:tcPr>
            <w:tcW w:w="4590"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2022 - 2023</w:t>
            </w:r>
          </w:p>
        </w:tc>
        <w:tc>
          <w:tcPr>
            <w:tcW w:w="6299"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9</w:t>
            </w:r>
          </w:p>
        </w:tc>
      </w:tr>
      <w:tr>
        <w:trPr>
          <w:trHeight w:val="210" w:hRule="atLeast"/>
        </w:trPr>
        <w:tc>
          <w:tcPr>
            <w:tcW w:w="1229" w:type="dxa"/>
            <w:tcBorders>
              <w:left w:val="single" w:sz="8" w:space="0" w:color="808080"/>
              <w:bottom w:val="single" w:sz="8" w:space="0" w:color="808080"/>
            </w:tcBorders>
            <w:shd w:fill="FFFFFF" w:val="clear"/>
          </w:tcPr>
          <w:p>
            <w:pPr>
              <w:pStyle w:val="Normal1"/>
              <w:spacing w:lineRule="auto" w:line="240" w:before="0" w:after="0"/>
              <w:rPr/>
            </w:pPr>
            <w:r>
              <w:rPr>
                <w:rStyle w:val="DefaultParagraphFont"/>
                <w:rFonts w:eastAsia="Calibri"/>
                <w:color w:val="333333"/>
                <w:sz w:val="18"/>
              </w:rPr>
              <w:t>TTHM</w:t>
            </w:r>
          </w:p>
        </w:tc>
        <w:tc>
          <w:tcPr>
            <w:tcW w:w="2641" w:type="dxa"/>
            <w:tcBorders>
              <w:left w:val="single" w:sz="8" w:space="0" w:color="808080"/>
              <w:bottom w:val="single" w:sz="8" w:space="0" w:color="808080"/>
              <w:right w:val="single" w:sz="8" w:space="0" w:color="808080"/>
            </w:tcBorders>
            <w:shd w:fill="FFFFFF" w:val="clear"/>
          </w:tcPr>
          <w:p>
            <w:pPr>
              <w:pStyle w:val="Normal1"/>
              <w:spacing w:lineRule="auto" w:line="240" w:before="0" w:after="0"/>
              <w:jc w:val="center"/>
              <w:rPr/>
            </w:pPr>
            <w:r>
              <w:rPr>
                <w:rStyle w:val="DefaultParagraphFont"/>
                <w:rFonts w:eastAsia="Calibri"/>
                <w:color w:val="333333"/>
                <w:sz w:val="18"/>
              </w:rPr>
              <w:t>12747 WHEELER</w:t>
            </w:r>
          </w:p>
        </w:tc>
        <w:tc>
          <w:tcPr>
            <w:tcW w:w="4590"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2022 - 2023</w:t>
            </w:r>
          </w:p>
        </w:tc>
        <w:tc>
          <w:tcPr>
            <w:tcW w:w="6299" w:type="dxa"/>
            <w:tcBorders>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33"/>
                <w:sz w:val="18"/>
              </w:rPr>
              <w:t>20</w:t>
            </w:r>
          </w:p>
        </w:tc>
      </w:tr>
      <w:tr>
        <w:trPr>
          <w:trHeight w:val="210" w:hRule="atLeast"/>
        </w:trPr>
        <w:tc>
          <w:tcPr>
            <w:tcW w:w="1229" w:type="dxa"/>
            <w:tcBorders>
              <w:left w:val="single" w:sz="8" w:space="0" w:color="808080"/>
              <w:bottom w:val="single" w:sz="8" w:space="0" w:color="808080"/>
            </w:tcBorders>
            <w:shd w:fill="FFFFFF" w:val="clear"/>
          </w:tcPr>
          <w:p>
            <w:pPr>
              <w:pStyle w:val="Normal1"/>
              <w:spacing w:lineRule="auto" w:line="240" w:before="0" w:after="0"/>
              <w:jc w:val="center"/>
              <w:rPr/>
            </w:pPr>
            <w:r>
              <w:rPr>
                <w:rStyle w:val="DefaultParagraphFont"/>
                <w:rFonts w:eastAsia="Calibri"/>
                <w:color w:val="333333"/>
                <w:sz w:val="18"/>
              </w:rPr>
              <w:t>1/31/2023 - 2/27/2023</w:t>
            </w:r>
          </w:p>
        </w:tc>
        <w:tc>
          <w:tcPr>
            <w:tcW w:w="2641" w:type="dxa"/>
            <w:tcBorders>
              <w:left w:val="single" w:sz="8" w:space="0" w:color="808080"/>
              <w:bottom w:val="single" w:sz="8" w:space="0" w:color="808080"/>
              <w:right w:val="single" w:sz="8" w:space="0" w:color="808080"/>
            </w:tcBorders>
            <w:shd w:fill="FFFFFF" w:val="clear"/>
          </w:tcPr>
          <w:p>
            <w:pPr>
              <w:pStyle w:val="Normal1"/>
              <w:spacing w:lineRule="auto" w:line="240" w:before="0" w:after="0"/>
              <w:jc w:val="center"/>
              <w:rPr/>
            </w:pPr>
            <w:r>
              <w:rPr>
                <w:rStyle w:val="DefaultParagraphFont"/>
                <w:rFonts w:eastAsia="Calibri"/>
                <w:color w:val="333333"/>
                <w:sz w:val="18"/>
              </w:rPr>
              <w:t>E. COLI</w:t>
            </w:r>
          </w:p>
        </w:tc>
        <w:tc>
          <w:tcPr>
            <w:tcW w:w="4590" w:type="dxa"/>
            <w:tcBorders>
              <w:left w:val="single" w:sz="8" w:space="0" w:color="808080"/>
              <w:bottom w:val="single" w:sz="8" w:space="0" w:color="808080"/>
              <w:right w:val="single" w:sz="8" w:space="0" w:color="808080"/>
            </w:tcBorders>
            <w:shd w:fill="FFFFFF" w:val="clear"/>
          </w:tcPr>
          <w:p>
            <w:pPr>
              <w:pStyle w:val="Normal1"/>
              <w:spacing w:lineRule="auto" w:line="240" w:before="0" w:after="0"/>
              <w:jc w:val="center"/>
              <w:rPr/>
            </w:pPr>
            <w:r>
              <w:rPr>
                <w:rStyle w:val="DefaultParagraphFont"/>
                <w:rFonts w:eastAsia="Calibri"/>
                <w:color w:val="333333"/>
                <w:sz w:val="18"/>
              </w:rPr>
              <w:t>MONITORING, ROUTINE, MAJOR (RTCR)</w:t>
            </w:r>
          </w:p>
        </w:tc>
        <w:tc>
          <w:tcPr>
            <w:tcW w:w="6299" w:type="dxa"/>
            <w:tcBorders>
              <w:left w:val="single" w:sz="8" w:space="0" w:color="808080"/>
              <w:bottom w:val="single" w:sz="8" w:space="0" w:color="808080"/>
              <w:right w:val="single" w:sz="8" w:space="0" w:color="808080"/>
            </w:tcBorders>
            <w:shd w:fill="FFFFFF" w:val="clear"/>
          </w:tcPr>
          <w:p>
            <w:pPr>
              <w:pStyle w:val="Normal1"/>
              <w:spacing w:lineRule="auto" w:line="240" w:before="0" w:after="0"/>
              <w:jc w:val="center"/>
              <w:rPr/>
            </w:pPr>
            <w:r>
              <w:rPr>
                <w:rStyle w:val="DefaultParagraphFont"/>
                <w:rFonts w:eastAsia="Calibri"/>
                <w:color w:val="333333"/>
                <w:sz w:val="18"/>
              </w:rPr>
              <w:t>Failed to collect routine or replacement coliform samples</w:t>
            </w:r>
          </w:p>
        </w:tc>
      </w:tr>
    </w:tbl>
    <w:p>
      <w:pPr>
        <w:pStyle w:val="Normal"/>
        <w:rPr>
          <w:rFonts w:ascii="Arial Narrow" w:hAnsi="Arial Narrow" w:cs="Arial"/>
          <w:sz w:val="20"/>
          <w:szCs w:val="20"/>
        </w:rPr>
      </w:pPr>
      <w:r>
        <w:rPr>
          <w:rFonts w:cs="Arial" w:ascii="Arial Narrow" w:hAnsi="Arial Narrow"/>
          <w:sz w:val="20"/>
          <w:szCs w:val="20"/>
        </w:rPr>
        <w:t>Violations were received for timeline violations. Samples were drawn, submitted and found acceptable.</w:t>
      </w:r>
    </w:p>
    <w:p>
      <w:pPr>
        <w:pStyle w:val="Normal"/>
        <w:rPr>
          <w:rFonts w:ascii="Arial Narrow" w:hAnsi="Arial Narrow" w:cs="Arial"/>
          <w:sz w:val="20"/>
          <w:szCs w:val="20"/>
        </w:rPr>
      </w:pPr>
      <w:r>
        <w:rPr>
          <w:rFonts w:cs="Arial" w:ascii="Arial Narrow" w:hAnsi="Arial Narrow"/>
          <w:sz w:val="20"/>
          <w:szCs w:val="20"/>
        </w:rPr>
      </w:r>
    </w:p>
    <w:p>
      <w:pPr>
        <w:pStyle w:val="Normal"/>
        <w:jc w:val="both"/>
        <w:rPr>
          <w:rFonts w:ascii="Arial Narrow" w:hAnsi="Arial Narrow" w:cs="Arial"/>
          <w:szCs w:val="18"/>
        </w:rPr>
      </w:pPr>
      <w:r>
        <w:rPr>
          <w:rFonts w:cs="Arial" w:ascii="Arial Narrow" w:hAnsi="Arial Narrow"/>
          <w:b/>
          <w:szCs w:val="18"/>
          <w:u w:val="single"/>
        </w:rPr>
        <w:t>Maximum Contaminant Level (MCL)</w:t>
      </w:r>
      <w:r>
        <w:rPr>
          <w:rFonts w:cs="Arial" w:ascii="Arial Narrow" w:hAnsi="Arial Narrow"/>
          <w:b/>
          <w:szCs w:val="18"/>
        </w:rPr>
        <w:t>:</w:t>
      </w:r>
      <w:r>
        <w:rPr>
          <w:rFonts w:cs="Arial" w:ascii="Arial Narrow" w:hAnsi="Arial Narrow"/>
          <w:szCs w:val="18"/>
        </w:rPr>
        <w:t xml:space="preserve"> Highest allowable amount of a contaminant that is allowed in drinking water.</w:t>
      </w:r>
    </w:p>
    <w:p>
      <w:pPr>
        <w:pStyle w:val="Normal"/>
        <w:jc w:val="both"/>
        <w:rPr>
          <w:rFonts w:ascii="Arial Narrow" w:hAnsi="Arial Narrow" w:cs="Arial"/>
          <w:szCs w:val="18"/>
        </w:rPr>
      </w:pPr>
      <w:r>
        <w:rPr>
          <w:rFonts w:cs="Arial" w:ascii="Arial Narrow" w:hAnsi="Arial Narrow"/>
          <w:b/>
          <w:szCs w:val="18"/>
          <w:u w:val="single"/>
        </w:rPr>
        <w:t>Maximum Contaminant Level Goal (MCLG</w:t>
      </w:r>
      <w:r>
        <w:rPr>
          <w:rFonts w:cs="Arial" w:ascii="Arial Narrow" w:hAnsi="Arial Narrow"/>
          <w:szCs w:val="18"/>
          <w:u w:val="single"/>
        </w:rPr>
        <w:t>)</w:t>
      </w:r>
      <w:r>
        <w:rPr>
          <w:rFonts w:cs="Arial" w:ascii="Arial Narrow" w:hAnsi="Arial Narrow"/>
          <w:szCs w:val="18"/>
        </w:rPr>
        <w:t>: Level of a contaminant in drinking water below which no known or expected risk to health exists. MCLG’s allow for a margin of safety.</w:t>
      </w:r>
    </w:p>
    <w:p>
      <w:pPr>
        <w:pStyle w:val="Normal"/>
        <w:jc w:val="both"/>
        <w:rPr>
          <w:rFonts w:ascii="Arial Narrow" w:hAnsi="Arial Narrow" w:cs="Arial"/>
          <w:szCs w:val="18"/>
        </w:rPr>
      </w:pPr>
      <w:r>
        <w:rPr>
          <w:rFonts w:cs="Arial" w:ascii="Arial Narrow" w:hAnsi="Arial Narrow"/>
          <w:b/>
          <w:szCs w:val="18"/>
          <w:u w:val="single"/>
        </w:rPr>
        <w:t>Parts per Million (ppm)</w:t>
      </w:r>
      <w:r>
        <w:rPr>
          <w:rFonts w:cs="Arial" w:ascii="Arial Narrow" w:hAnsi="Arial Narrow"/>
          <w:b/>
          <w:szCs w:val="18"/>
        </w:rPr>
        <w:t>:</w:t>
      </w:r>
      <w:r>
        <w:rPr>
          <w:rFonts w:cs="Arial" w:ascii="Arial Narrow" w:hAnsi="Arial Narrow"/>
          <w:szCs w:val="18"/>
        </w:rPr>
        <w:t xml:space="preserve"> One part per million corresponds to one minute in two years.</w:t>
      </w:r>
    </w:p>
    <w:p>
      <w:pPr>
        <w:pStyle w:val="Normal"/>
        <w:jc w:val="both"/>
        <w:rPr>
          <w:rFonts w:ascii="Arial Narrow" w:hAnsi="Arial Narrow" w:cs="Arial"/>
          <w:szCs w:val="18"/>
        </w:rPr>
      </w:pPr>
      <w:r>
        <w:rPr>
          <w:rFonts w:cs="Arial" w:ascii="Arial Narrow" w:hAnsi="Arial Narrow"/>
          <w:szCs w:val="18"/>
        </w:rPr>
      </w:r>
    </w:p>
    <w:tbl>
      <w:tblPr>
        <w:tblW w:w="14580" w:type="dxa"/>
        <w:jc w:val="left"/>
        <w:tblInd w:w="636" w:type="dxa"/>
        <w:tblLayout w:type="fixed"/>
        <w:tblCellMar>
          <w:top w:w="39" w:type="dxa"/>
          <w:left w:w="99" w:type="dxa"/>
          <w:bottom w:w="39" w:type="dxa"/>
          <w:right w:w="39" w:type="dxa"/>
        </w:tblCellMar>
      </w:tblPr>
      <w:tblGrid>
        <w:gridCol w:w="1080"/>
        <w:gridCol w:w="2130"/>
        <w:gridCol w:w="1245"/>
        <w:gridCol w:w="2789"/>
        <w:gridCol w:w="1966"/>
        <w:gridCol w:w="5369"/>
      </w:tblGrid>
      <w:tr>
        <w:trPr>
          <w:trHeight w:val="455" w:hRule="atLeast"/>
        </w:trPr>
        <w:tc>
          <w:tcPr>
            <w:tcW w:w="14579" w:type="dxa"/>
            <w:gridSpan w:val="6"/>
            <w:tcBorders/>
            <w:shd w:fill="FFFFFF" w:val="clear"/>
          </w:tcPr>
          <w:p>
            <w:pPr>
              <w:pStyle w:val="Normal1"/>
              <w:spacing w:lineRule="auto" w:line="240" w:before="0" w:after="0"/>
              <w:rPr/>
            </w:pPr>
            <w:r>
              <w:rPr>
                <w:rStyle w:val="DefaultParagraphFont"/>
                <w:rFonts w:eastAsia="Calibri"/>
                <w:b/>
                <w:color w:val="000000"/>
                <w:sz w:val="22"/>
                <w:u w:val="single"/>
              </w:rPr>
              <w:t>Deficiencies</w:t>
            </w:r>
          </w:p>
          <w:p>
            <w:pPr>
              <w:pStyle w:val="Normal1"/>
              <w:spacing w:lineRule="auto" w:line="240" w:before="0" w:after="0"/>
              <w:rPr/>
            </w:pPr>
            <w:r>
              <w:rPr>
                <w:rStyle w:val="DefaultParagraphFont"/>
                <w:rFonts w:eastAsia="Calibri"/>
                <w:color w:val="000000"/>
              </w:rPr>
              <w:t>Unresolved significant deficiencies that were identified during a survey done on the water system are shown below.</w:t>
            </w:r>
          </w:p>
        </w:tc>
      </w:tr>
      <w:tr>
        <w:trPr>
          <w:trHeight w:val="435" w:hRule="atLeast"/>
        </w:trPr>
        <w:tc>
          <w:tcPr>
            <w:tcW w:w="1080"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Date Identified</w:t>
            </w:r>
          </w:p>
        </w:tc>
        <w:tc>
          <w:tcPr>
            <w:tcW w:w="2130"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Facility</w:t>
            </w:r>
          </w:p>
        </w:tc>
        <w:tc>
          <w:tcPr>
            <w:tcW w:w="1245"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Code</w:t>
            </w:r>
          </w:p>
        </w:tc>
        <w:tc>
          <w:tcPr>
            <w:tcW w:w="2789"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1F3864"/>
                <w:sz w:val="18"/>
              </w:rPr>
              <w:t>Activity</w:t>
            </w:r>
          </w:p>
        </w:tc>
        <w:tc>
          <w:tcPr>
            <w:tcW w:w="1966"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Due Date</w:t>
            </w:r>
          </w:p>
        </w:tc>
        <w:tc>
          <w:tcPr>
            <w:tcW w:w="5369" w:type="dxa"/>
            <w:tcBorders>
              <w:top w:val="single" w:sz="8" w:space="0" w:color="808080"/>
              <w:left w:val="single" w:sz="8" w:space="0" w:color="808080"/>
              <w:bottom w:val="single" w:sz="8" w:space="0" w:color="808080"/>
              <w:right w:val="single" w:sz="8" w:space="0" w:color="808080"/>
            </w:tcBorders>
            <w:shd w:fill="FFFFFF" w:val="clear"/>
          </w:tcPr>
          <w:p>
            <w:pPr>
              <w:pStyle w:val="Normal1"/>
              <w:spacing w:lineRule="auto" w:line="240" w:before="0" w:after="0"/>
              <w:rPr/>
            </w:pPr>
            <w:r>
              <w:rPr>
                <w:rStyle w:val="DefaultParagraphFont"/>
                <w:rFonts w:eastAsia="Calibri"/>
                <w:color w:val="333399"/>
                <w:sz w:val="18"/>
              </w:rPr>
              <w:t>Description</w:t>
            </w:r>
          </w:p>
        </w:tc>
      </w:tr>
      <w:tr>
        <w:trPr>
          <w:trHeight w:val="282" w:hRule="atLeast"/>
        </w:trPr>
        <w:tc>
          <w:tcPr>
            <w:tcW w:w="14579" w:type="dxa"/>
            <w:gridSpan w:val="6"/>
            <w:tcBorders/>
            <w:shd w:fill="FFFFFF" w:val="clear"/>
          </w:tcPr>
          <w:p>
            <w:pPr>
              <w:pStyle w:val="Normal1"/>
              <w:spacing w:lineRule="auto" w:line="240" w:before="0" w:after="0"/>
              <w:jc w:val="center"/>
              <w:rPr/>
            </w:pPr>
            <w:r>
              <w:rPr>
                <w:rStyle w:val="DefaultParagraphFont"/>
                <w:rFonts w:eastAsia="Calibri"/>
                <w:color w:val="333333"/>
              </w:rPr>
              <w:t>No deficiencies during this period.</w:t>
            </w:r>
          </w:p>
        </w:tc>
      </w:tr>
    </w:tbl>
    <w:p>
      <w:pPr>
        <w:pStyle w:val="Normal"/>
        <w:rPr>
          <w:rFonts w:ascii="Arial Narrow" w:hAnsi="Arial Narrow" w:cs="Arial"/>
          <w:sz w:val="20"/>
          <w:szCs w:val="20"/>
        </w:rPr>
      </w:pPr>
      <w:r>
        <w:rPr>
          <w:rFonts w:cs="Arial" w:ascii="Arial Narrow" w:hAnsi="Arial Narrow"/>
          <w:sz w:val="20"/>
          <w:szCs w:val="20"/>
        </w:rPr>
      </w:r>
    </w:p>
    <w:p>
      <w:pPr>
        <w:sectPr>
          <w:type w:val="nextPage"/>
          <w:pgSz w:orient="landscape" w:w="15840" w:h="12240"/>
          <w:pgMar w:left="288" w:right="720" w:gutter="0" w:header="0" w:top="1008" w:footer="0" w:bottom="1008"/>
          <w:pgNumType w:fmt="decimal"/>
          <w:formProt w:val="false"/>
          <w:textDirection w:val="lrTb"/>
          <w:docGrid w:type="default" w:linePitch="360" w:charSpace="4096"/>
        </w:sectPr>
        <w:pStyle w:val="Normal"/>
        <w:spacing w:lineRule="exact" w:line="160"/>
        <w:rPr>
          <w:sz w:val="16"/>
        </w:rPr>
      </w:pPr>
      <w:r>
        <w:rPr/>
        <w:t xml:space="preserve"> </w:t>
      </w:r>
    </w:p>
    <w:p>
      <w:pPr>
        <w:pStyle w:val="Normal"/>
        <w:jc w:val="both"/>
        <w:rPr>
          <w:rFonts w:ascii="Arial Narrow" w:hAnsi="Arial Narrow" w:cs="Arial"/>
          <w:sz w:val="20"/>
          <w:szCs w:val="20"/>
        </w:rPr>
      </w:pPr>
      <w:r>
        <w:rPr>
          <w:rFonts w:cs="Arial" w:ascii="Arial Narrow" w:hAnsi="Arial Narrow"/>
          <w:sz w:val="20"/>
          <w:szCs w:val="20"/>
        </w:rPr>
      </w:r>
    </w:p>
    <w:sectPr>
      <w:type w:val="nextPage"/>
      <w:pgSz w:w="12240" w:h="15840"/>
      <w:pgMar w:left="1008" w:right="1008" w:gutter="0" w:header="0" w:top="720" w:footer="0" w:bottom="28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mbria">
    <w:charset w:val="00"/>
    <w:family w:val="roman"/>
    <w:pitch w:val="variable"/>
  </w:font>
  <w:font w:name="Arial Narrow">
    <w:charset w:val="00"/>
    <w:family w:val="roman"/>
    <w:pitch w:val="variable"/>
  </w:font>
  <w:font w:name="SansSerif">
    <w:altName w:val="Arial"/>
    <w:charset w:val="00"/>
    <w:family w:val="roman"/>
    <w:pitch w:val="variable"/>
  </w:font>
  <w:font w:name="Calibri">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3726"/>
    <w:pPr>
      <w:widowControl/>
      <w:suppressAutoHyphens w:val="true"/>
      <w:bidi w:val="0"/>
      <w:spacing w:lineRule="auto" w:line="276" w:before="0" w:after="0"/>
      <w:jc w:val="center"/>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e5ee3"/>
    <w:rPr>
      <w:rFonts w:ascii="Tahoma" w:hAnsi="Tahoma" w:cs="Tahoma"/>
      <w:sz w:val="16"/>
      <w:szCs w:val="16"/>
    </w:rPr>
  </w:style>
  <w:style w:type="character" w:styleId="Hyperlink">
    <w:name w:val="Hyperlink"/>
    <w:basedOn w:val="DefaultParagraphFont"/>
    <w:uiPriority w:val="99"/>
    <w:unhideWhenUsed/>
    <w:rsid w:val="00707b9f"/>
    <w:rPr>
      <w:color w:themeColor="hyperlink" w:val="0000FF"/>
      <w:u w:val="single"/>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velopeAddress">
    <w:name w:val="Envelope Address"/>
    <w:basedOn w:val="Normal"/>
    <w:uiPriority w:val="99"/>
    <w:semiHidden/>
    <w:unhideWhenUsed/>
    <w:qFormat/>
    <w:rsid w:val="009b7e0e"/>
    <w:pPr>
      <w:spacing w:lineRule="auto" w:line="240"/>
      <w:ind w:hanging="0" w:left="2880"/>
    </w:pPr>
    <w:rPr>
      <w:rFonts w:ascii="Cambria" w:hAnsi="Cambria" w:eastAsia="" w:cs="" w:cstheme="majorBidi" w:eastAsiaTheme="majorEastAsia"/>
      <w:sz w:val="24"/>
      <w:szCs w:val="24"/>
    </w:rPr>
  </w:style>
  <w:style w:type="paragraph" w:styleId="ListParagraph">
    <w:name w:val="List Paragraph"/>
    <w:basedOn w:val="Normal"/>
    <w:uiPriority w:val="34"/>
    <w:qFormat/>
    <w:rsid w:val="00486f83"/>
    <w:pPr>
      <w:spacing w:before="0" w:after="0"/>
      <w:ind w:hanging="0" w:left="720"/>
      <w:contextualSpacing/>
    </w:pPr>
    <w:rPr/>
  </w:style>
  <w:style w:type="paragraph" w:styleId="BalloonText">
    <w:name w:val="Balloon Text"/>
    <w:basedOn w:val="Normal"/>
    <w:link w:val="BalloonTextChar"/>
    <w:uiPriority w:val="99"/>
    <w:semiHidden/>
    <w:unhideWhenUsed/>
    <w:qFormat/>
    <w:rsid w:val="009e5ee3"/>
    <w:pPr>
      <w:spacing w:lineRule="auto" w:line="240"/>
    </w:pPr>
    <w:rPr>
      <w:rFonts w:ascii="Tahoma" w:hAnsi="Tahoma" w:cs="Tahoma"/>
      <w:sz w:val="16"/>
      <w:szCs w:val="16"/>
    </w:rPr>
  </w:style>
  <w:style w:type="paragraph" w:styleId="NoSpacing">
    <w:name w:val="No Spacing"/>
    <w:uiPriority w:val="1"/>
    <w:qFormat/>
    <w:rsid w:val="004d76df"/>
    <w:pPr>
      <w:widowControl/>
      <w:suppressAutoHyphens w:val="true"/>
      <w:bidi w:val="0"/>
      <w:spacing w:lineRule="auto" w:line="240" w:before="0" w:after="0"/>
      <w:jc w:val="center"/>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EmptyCellLayoutStyle">
    <w:name w:val="EmptyCellLayoutStyle"/>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
      <w:szCs w:val="22"/>
      <w:lang w:val="en-US" w:eastAsia="en-US" w:bidi="ar-SA"/>
    </w:rPr>
  </w:style>
  <w:style w:type="paragraph" w:styleId="Normal1">
    <w:name w:val="Normal1"/>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Normal2">
    <w:name w:val="Normal2"/>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9e5ee3"/>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pa.gov/safewater/lead"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500F-5504-41C6-B0C5-281B230C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Application>LibreOffice/24.2.4.2$Windows_X86_64 LibreOffice_project/51a6219feb6075d9a4c46691dcfe0cd9c4fff3c2</Application>
  <AppVersion>15.0000</AppVersion>
  <Pages>5</Pages>
  <Words>1133</Words>
  <Characters>6363</Characters>
  <CharactersWithSpaces>7358</CharactersWithSpaces>
  <Paragraphs>180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2020-07-23T14:55:00Z</dcterms:created>
  <dc:creator>jaime.bertola</dc:creator>
  <dc:description/>
  <dc:language>en-US</dc:language>
  <cp:lastModifiedBy/>
  <cp:lastPrinted>2021-03-16T14:29:10Z</cp:lastPrinted>
  <dcterms:modified xsi:type="dcterms:W3CDTF">2024-06-26T07:45:03Z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